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3FD21" w14:textId="795457E1" w:rsidR="0016575B" w:rsidRDefault="006729B0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3F4F" wp14:editId="51B55584">
                <wp:simplePos x="0" y="0"/>
                <wp:positionH relativeFrom="column">
                  <wp:posOffset>-5080</wp:posOffset>
                </wp:positionH>
                <wp:positionV relativeFrom="paragraph">
                  <wp:posOffset>-544830</wp:posOffset>
                </wp:positionV>
                <wp:extent cx="1238250" cy="5270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2E1FA" w14:textId="299054BE" w:rsidR="006729B0" w:rsidRPr="006729B0" w:rsidRDefault="006729B0">
                            <w:pPr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9B0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论文格式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C3F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4pt;margin-top:-42.9pt;width:97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" fillcolor="white [3201]" strokeweight=".5pt">
                <v:textbox>
                  <w:txbxContent>
                    <w:p w14:paraId="4BC2E1FA" w14:textId="299054BE" w:rsidR="006729B0" w:rsidRPr="006729B0" w:rsidRDefault="006729B0">
                      <w:pPr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6729B0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>论文格式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6FE2B713" w14:textId="77777777" w:rsidR="0016575B" w:rsidRDefault="0016575B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</w:p>
    <w:p w14:paraId="679636CE" w14:textId="77777777" w:rsidR="0016575B" w:rsidRPr="00CB1105" w:rsidRDefault="00127116" w:rsidP="0016575B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3B1A0E">
        <w:rPr>
          <w:rFonts w:eastAsia="標楷體"/>
          <w:b/>
          <w:bCs/>
          <w:sz w:val="32"/>
          <w:szCs w:val="32"/>
        </w:rPr>
        <w:t>展览业高质量发展</w:t>
      </w:r>
      <w:r w:rsidRPr="003B1A0E">
        <w:rPr>
          <w:rFonts w:eastAsia="標楷體" w:hint="eastAsia"/>
          <w:b/>
          <w:bCs/>
          <w:sz w:val="32"/>
          <w:szCs w:val="32"/>
        </w:rPr>
        <w:t>的创新思维</w:t>
      </w:r>
    </w:p>
    <w:p w14:paraId="08C1740D" w14:textId="77777777" w:rsidR="007B1727" w:rsidRPr="00FE2580" w:rsidRDefault="00127116" w:rsidP="0016575B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3B1A0E">
        <w:rPr>
          <w:rFonts w:eastAsia="標楷體"/>
          <w:b/>
          <w:bCs/>
          <w:sz w:val="28"/>
          <w:szCs w:val="28"/>
        </w:rPr>
        <w:t>Innovative Thinking on the High</w:t>
      </w:r>
      <w:r>
        <w:rPr>
          <w:rFonts w:ascii="DengXian" w:eastAsia="DengXian" w:hAnsi="DengXian" w:hint="eastAsia"/>
          <w:b/>
          <w:bCs/>
          <w:sz w:val="28"/>
          <w:szCs w:val="28"/>
          <w:lang w:eastAsia="zh-CN"/>
        </w:rPr>
        <w:t>-</w:t>
      </w:r>
      <w:r w:rsidRPr="003B1A0E">
        <w:rPr>
          <w:rFonts w:eastAsia="標楷體"/>
          <w:b/>
          <w:bCs/>
          <w:sz w:val="28"/>
          <w:szCs w:val="28"/>
        </w:rPr>
        <w:t>Quality Development of Exhibition Industry</w:t>
      </w:r>
    </w:p>
    <w:p w14:paraId="008DC9D4" w14:textId="77777777" w:rsidR="00F74B9A" w:rsidRPr="00CF3F9E" w:rsidRDefault="00F74B9A" w:rsidP="00684ED8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5A8478D8" w14:textId="77777777" w:rsidR="00CF3F9E" w:rsidRDefault="00CF3F9E" w:rsidP="00684ED8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Ansi="標楷體" w:hint="eastAsia"/>
          <w:sz w:val="28"/>
          <w:szCs w:val="28"/>
          <w:lang w:eastAsia="zh-CN"/>
        </w:rPr>
        <w:t>杨国华</w:t>
      </w:r>
      <w:r w:rsidRPr="00ED1DAA">
        <w:rPr>
          <w:rStyle w:val="ae"/>
          <w:rFonts w:eastAsia="標楷體" w:hAnsi="標楷體"/>
          <w:sz w:val="28"/>
          <w:szCs w:val="28"/>
        </w:rPr>
        <w:footnoteReference w:id="1"/>
      </w:r>
      <w:r w:rsidRPr="00AB795E">
        <w:rPr>
          <w:rFonts w:eastAsia="標楷體" w:hAnsi="標楷體" w:hint="eastAsia"/>
          <w:sz w:val="28"/>
          <w:szCs w:val="28"/>
          <w:vertAlign w:val="superscript"/>
        </w:rPr>
        <w:t>*</w:t>
      </w:r>
    </w:p>
    <w:p w14:paraId="271CE477" w14:textId="77777777" w:rsidR="00CF3F9E" w:rsidRDefault="00CF3F9E" w:rsidP="00684ED8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 w:hAnsi="標楷體"/>
        </w:rPr>
        <w:t>Gwo</w:t>
      </w:r>
      <w:r w:rsidRPr="000B7F40">
        <w:rPr>
          <w:rFonts w:eastAsia="標楷體" w:hAnsi="標楷體"/>
        </w:rPr>
        <w:t>-</w:t>
      </w:r>
      <w:r>
        <w:rPr>
          <w:rFonts w:eastAsia="標楷體" w:hAnsi="標楷體"/>
        </w:rPr>
        <w:t>Hua</w:t>
      </w:r>
      <w:r>
        <w:rPr>
          <w:rFonts w:ascii="SimSun" w:eastAsia="SimSun" w:hAnsi="SimSun" w:hint="eastAsia"/>
          <w:lang w:eastAsia="zh-CN"/>
        </w:rPr>
        <w:t xml:space="preserve"> </w:t>
      </w:r>
      <w:r>
        <w:rPr>
          <w:rFonts w:eastAsia="標楷體" w:hAnsi="標楷體"/>
        </w:rPr>
        <w:t>Yang</w:t>
      </w:r>
    </w:p>
    <w:p w14:paraId="1A75810D" w14:textId="77777777" w:rsidR="00A1434B" w:rsidRPr="00986914" w:rsidRDefault="00A1434B" w:rsidP="003B695F">
      <w:pPr>
        <w:adjustRightInd w:val="0"/>
        <w:snapToGrid w:val="0"/>
        <w:jc w:val="center"/>
        <w:rPr>
          <w:rFonts w:eastAsia="標楷體"/>
        </w:rPr>
      </w:pPr>
    </w:p>
    <w:p w14:paraId="28E47EB4" w14:textId="77777777" w:rsidR="006F55FE" w:rsidRPr="00986914" w:rsidRDefault="006F55FE" w:rsidP="001143D8">
      <w:pPr>
        <w:adjustRightInd w:val="0"/>
        <w:snapToGrid w:val="0"/>
        <w:jc w:val="center"/>
        <w:rPr>
          <w:rFonts w:eastAsia="標楷體"/>
        </w:rPr>
      </w:pPr>
    </w:p>
    <w:p w14:paraId="60DD94F5" w14:textId="77777777" w:rsidR="006F55FE" w:rsidRPr="001143D8" w:rsidRDefault="00FA080D" w:rsidP="00986914">
      <w:pPr>
        <w:widowControl/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eastAsia="標楷體"/>
          <w:b/>
          <w:kern w:val="0"/>
          <w:sz w:val="28"/>
          <w:szCs w:val="28"/>
        </w:rPr>
      </w:pPr>
      <w:r w:rsidRPr="001143D8">
        <w:rPr>
          <w:rFonts w:eastAsia="標楷體" w:hAnsi="標楷體" w:hint="eastAsia"/>
          <w:b/>
          <w:kern w:val="0"/>
          <w:sz w:val="28"/>
          <w:szCs w:val="28"/>
          <w:lang w:eastAsia="zh-CN"/>
        </w:rPr>
        <w:t>摘要</w:t>
      </w:r>
    </w:p>
    <w:p w14:paraId="2FA8657A" w14:textId="6DDEFE5A" w:rsidR="006F55FE" w:rsidRPr="00986914" w:rsidRDefault="00FA080D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</w:rPr>
      </w:pPr>
      <w:r>
        <w:rPr>
          <w:rFonts w:eastAsia="標楷體" w:hAnsi="標楷體" w:hint="eastAsia"/>
          <w:kern w:val="0"/>
          <w:szCs w:val="20"/>
          <w:lang w:eastAsia="zh-CN"/>
        </w:rPr>
        <w:t>中文题目为</w:t>
      </w:r>
      <w:r>
        <w:rPr>
          <w:rFonts w:eastAsia="標楷體" w:hAnsi="標楷體"/>
          <w:kern w:val="0"/>
          <w:szCs w:val="20"/>
          <w:lang w:eastAsia="zh-CN"/>
        </w:rPr>
        <w:t>16</w:t>
      </w:r>
      <w:r>
        <w:rPr>
          <w:rFonts w:eastAsia="標楷體" w:hAnsi="標楷體" w:hint="eastAsia"/>
          <w:kern w:val="0"/>
          <w:szCs w:val="20"/>
          <w:lang w:eastAsia="zh-CN"/>
        </w:rPr>
        <w:t>号字粗体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英文题目</w:t>
      </w:r>
      <w:r>
        <w:rPr>
          <w:rFonts w:eastAsia="標楷體" w:hAnsi="標楷體" w:hint="eastAsia"/>
          <w:kern w:val="0"/>
          <w:szCs w:val="20"/>
          <w:lang w:eastAsia="zh-CN"/>
        </w:rPr>
        <w:t>为</w:t>
      </w:r>
      <w:r>
        <w:rPr>
          <w:rFonts w:eastAsia="標楷體" w:hAnsi="標楷體"/>
          <w:kern w:val="0"/>
          <w:szCs w:val="20"/>
          <w:lang w:eastAsia="zh-CN"/>
        </w:rPr>
        <w:t>14</w:t>
      </w:r>
      <w:r>
        <w:rPr>
          <w:rFonts w:eastAsia="標楷體" w:hAnsi="標楷體" w:hint="eastAsia"/>
          <w:kern w:val="0"/>
          <w:szCs w:val="20"/>
          <w:lang w:eastAsia="zh-CN"/>
        </w:rPr>
        <w:t>号字粗体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全文包含题目摘要</w:t>
      </w:r>
      <w:r>
        <w:rPr>
          <w:rFonts w:eastAsia="標楷體"/>
          <w:kern w:val="0"/>
          <w:szCs w:val="20"/>
          <w:lang w:eastAsia="zh-CN"/>
        </w:rPr>
        <w:t>…</w:t>
      </w:r>
      <w:r>
        <w:rPr>
          <w:rFonts w:eastAsia="標楷體" w:hint="eastAsia"/>
          <w:kern w:val="0"/>
          <w:szCs w:val="20"/>
          <w:lang w:eastAsia="zh-CN"/>
        </w:rPr>
        <w:t>等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中文皆是标楷体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英文皆是</w:t>
      </w:r>
      <w:r>
        <w:rPr>
          <w:rFonts w:eastAsia="標楷體"/>
          <w:kern w:val="0"/>
          <w:szCs w:val="20"/>
          <w:lang w:eastAsia="zh-CN"/>
        </w:rPr>
        <w:t>Times New Roman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中英文摘要标题皆为</w:t>
      </w:r>
      <w:r>
        <w:rPr>
          <w:rFonts w:eastAsia="標楷體"/>
          <w:kern w:val="0"/>
          <w:szCs w:val="20"/>
          <w:lang w:eastAsia="zh-CN"/>
        </w:rPr>
        <w:t>14</w:t>
      </w:r>
      <w:r>
        <w:rPr>
          <w:rFonts w:eastAsia="標楷體" w:hint="eastAsia"/>
          <w:kern w:val="0"/>
          <w:szCs w:val="20"/>
          <w:lang w:eastAsia="zh-CN"/>
        </w:rPr>
        <w:t>号字粗体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作者中文姓名</w:t>
      </w:r>
      <w:r>
        <w:rPr>
          <w:rFonts w:eastAsia="標楷體"/>
          <w:kern w:val="0"/>
          <w:szCs w:val="20"/>
          <w:lang w:eastAsia="zh-CN"/>
        </w:rPr>
        <w:t>14</w:t>
      </w:r>
      <w:r>
        <w:rPr>
          <w:rFonts w:eastAsia="標楷體" w:hint="eastAsia"/>
          <w:kern w:val="0"/>
          <w:szCs w:val="20"/>
          <w:lang w:eastAsia="zh-CN"/>
        </w:rPr>
        <w:t>号字不要粗体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作者英文姓名</w:t>
      </w:r>
      <w:r>
        <w:rPr>
          <w:rFonts w:eastAsia="標楷體"/>
          <w:kern w:val="0"/>
          <w:szCs w:val="20"/>
          <w:lang w:eastAsia="zh-CN"/>
        </w:rPr>
        <w:t>12</w:t>
      </w:r>
      <w:r>
        <w:rPr>
          <w:rFonts w:eastAsia="標楷體" w:hint="eastAsia"/>
          <w:kern w:val="0"/>
          <w:szCs w:val="20"/>
          <w:lang w:eastAsia="zh-CN"/>
        </w:rPr>
        <w:t>号字也不要粗体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通讯作者无论第几作者皆能担任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可是每篇作者仅有一位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内文段落设定都一样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第一行必须空二字符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请看图</w:t>
      </w:r>
      <w:r>
        <w:rPr>
          <w:rFonts w:eastAsia="標楷體"/>
          <w:kern w:val="0"/>
          <w:szCs w:val="20"/>
          <w:lang w:eastAsia="zh-CN"/>
        </w:rPr>
        <w:t>1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无须任何页码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标题标示方式千万不要有章或节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皆以</w:t>
      </w:r>
      <w:r>
        <w:rPr>
          <w:rFonts w:eastAsia="標楷體"/>
          <w:kern w:val="0"/>
          <w:szCs w:val="20"/>
          <w:lang w:eastAsia="zh-CN"/>
        </w:rPr>
        <w:t>1.</w:t>
      </w:r>
      <w:r>
        <w:rPr>
          <w:rFonts w:eastAsia="標楷體" w:hint="eastAsia"/>
          <w:kern w:val="0"/>
          <w:szCs w:val="20"/>
          <w:lang w:eastAsia="zh-CN"/>
        </w:rPr>
        <w:t>或</w:t>
      </w:r>
      <w:r>
        <w:rPr>
          <w:rFonts w:eastAsia="標楷體"/>
          <w:kern w:val="0"/>
          <w:szCs w:val="20"/>
          <w:lang w:eastAsia="zh-CN"/>
        </w:rPr>
        <w:t>1.1</w:t>
      </w:r>
      <w:r>
        <w:rPr>
          <w:rFonts w:eastAsia="標楷體" w:hint="eastAsia"/>
          <w:kern w:val="0"/>
          <w:szCs w:val="20"/>
          <w:lang w:eastAsia="zh-CN"/>
        </w:rPr>
        <w:t>或</w:t>
      </w:r>
      <w:r>
        <w:rPr>
          <w:rFonts w:eastAsia="標楷體"/>
          <w:kern w:val="0"/>
          <w:szCs w:val="20"/>
          <w:lang w:eastAsia="zh-CN"/>
        </w:rPr>
        <w:t>1.1.1</w:t>
      </w:r>
      <w:r>
        <w:rPr>
          <w:rFonts w:eastAsia="標楷體" w:hint="eastAsia"/>
          <w:kern w:val="0"/>
          <w:szCs w:val="20"/>
          <w:lang w:eastAsia="zh-CN"/>
        </w:rPr>
        <w:t>或</w:t>
      </w:r>
      <w:r>
        <w:rPr>
          <w:rFonts w:eastAsia="標楷體"/>
          <w:kern w:val="0"/>
          <w:szCs w:val="20"/>
          <w:lang w:eastAsia="zh-CN"/>
        </w:rPr>
        <w:t>1.1.1.1</w:t>
      </w:r>
      <w:r>
        <w:rPr>
          <w:rFonts w:eastAsia="標楷體" w:hint="eastAsia"/>
          <w:kern w:val="0"/>
          <w:szCs w:val="20"/>
          <w:lang w:eastAsia="zh-CN"/>
        </w:rPr>
        <w:t>等逻辑进行标示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无论标题阶层皆为靠左不要空二字符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阶层</w:t>
      </w:r>
      <w:r>
        <w:rPr>
          <w:rFonts w:eastAsia="標楷體"/>
          <w:kern w:val="0"/>
          <w:szCs w:val="20"/>
          <w:lang w:eastAsia="zh-CN"/>
        </w:rPr>
        <w:t>1</w:t>
      </w:r>
      <w:r>
        <w:rPr>
          <w:rFonts w:eastAsia="標楷體" w:hint="eastAsia"/>
          <w:kern w:val="0"/>
          <w:szCs w:val="20"/>
          <w:lang w:eastAsia="zh-CN"/>
        </w:rPr>
        <w:t>为</w:t>
      </w:r>
      <w:r>
        <w:rPr>
          <w:rFonts w:eastAsia="標楷體"/>
          <w:kern w:val="0"/>
          <w:szCs w:val="20"/>
          <w:lang w:eastAsia="zh-CN"/>
        </w:rPr>
        <w:t>14</w:t>
      </w:r>
      <w:r>
        <w:rPr>
          <w:rFonts w:eastAsia="標楷體" w:hint="eastAsia"/>
          <w:kern w:val="0"/>
          <w:szCs w:val="20"/>
          <w:lang w:eastAsia="zh-CN"/>
        </w:rPr>
        <w:t>号字粗体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例如</w:t>
      </w:r>
      <w:r>
        <w:rPr>
          <w:rFonts w:eastAsia="標楷體"/>
          <w:kern w:val="0"/>
          <w:szCs w:val="20"/>
          <w:lang w:eastAsia="zh-CN"/>
        </w:rPr>
        <w:t>1.</w:t>
      </w:r>
      <w:r>
        <w:rPr>
          <w:rFonts w:eastAsia="標楷體" w:hint="eastAsia"/>
          <w:kern w:val="0"/>
          <w:szCs w:val="20"/>
          <w:lang w:eastAsia="zh-CN"/>
        </w:rPr>
        <w:t>前言或</w:t>
      </w:r>
      <w:r>
        <w:rPr>
          <w:rFonts w:eastAsia="標楷體"/>
          <w:kern w:val="0"/>
          <w:szCs w:val="20"/>
          <w:lang w:eastAsia="zh-CN"/>
        </w:rPr>
        <w:t>2.</w:t>
      </w:r>
      <w:r>
        <w:rPr>
          <w:rFonts w:eastAsia="標楷體" w:hint="eastAsia"/>
          <w:kern w:val="0"/>
          <w:szCs w:val="20"/>
          <w:lang w:eastAsia="zh-CN"/>
        </w:rPr>
        <w:t>文献探讨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其他阶层皆为</w:t>
      </w:r>
      <w:r>
        <w:rPr>
          <w:rFonts w:eastAsia="標楷體"/>
          <w:kern w:val="0"/>
          <w:szCs w:val="20"/>
          <w:lang w:eastAsia="zh-CN"/>
        </w:rPr>
        <w:t>12</w:t>
      </w:r>
      <w:r>
        <w:rPr>
          <w:rFonts w:eastAsia="標楷體" w:hint="eastAsia"/>
          <w:kern w:val="0"/>
          <w:szCs w:val="20"/>
          <w:lang w:eastAsia="zh-CN"/>
        </w:rPr>
        <w:t>号字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例如</w:t>
      </w:r>
      <w:r>
        <w:rPr>
          <w:rFonts w:eastAsia="標楷體"/>
          <w:kern w:val="0"/>
          <w:szCs w:val="20"/>
          <w:lang w:eastAsia="zh-CN"/>
        </w:rPr>
        <w:t>1.2</w:t>
      </w:r>
      <w:r>
        <w:rPr>
          <w:rFonts w:eastAsia="標楷體" w:hint="eastAsia"/>
          <w:kern w:val="0"/>
          <w:szCs w:val="20"/>
          <w:lang w:eastAsia="zh-CN"/>
        </w:rPr>
        <w:t>研究假设或</w:t>
      </w:r>
      <w:r>
        <w:rPr>
          <w:rFonts w:eastAsia="標楷體"/>
          <w:kern w:val="0"/>
          <w:szCs w:val="20"/>
          <w:lang w:eastAsia="zh-CN"/>
        </w:rPr>
        <w:t>2.2.3</w:t>
      </w:r>
      <w:r>
        <w:rPr>
          <w:rFonts w:eastAsia="標楷體" w:hint="eastAsia"/>
          <w:kern w:val="0"/>
          <w:szCs w:val="20"/>
          <w:lang w:eastAsia="zh-CN"/>
        </w:rPr>
        <w:t>服务满意度之定义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表与图标题直接以图</w:t>
      </w:r>
      <w:r>
        <w:rPr>
          <w:rFonts w:eastAsia="標楷體"/>
          <w:kern w:val="0"/>
          <w:szCs w:val="20"/>
          <w:lang w:eastAsia="zh-CN"/>
        </w:rPr>
        <w:t>1.</w:t>
      </w:r>
      <w:r>
        <w:rPr>
          <w:rFonts w:eastAsia="標楷體" w:hint="eastAsia"/>
          <w:kern w:val="0"/>
          <w:szCs w:val="20"/>
          <w:lang w:eastAsia="zh-CN"/>
        </w:rPr>
        <w:t>然后图</w:t>
      </w:r>
      <w:r>
        <w:rPr>
          <w:rFonts w:eastAsia="標楷體"/>
          <w:kern w:val="0"/>
          <w:szCs w:val="20"/>
          <w:lang w:eastAsia="zh-CN"/>
        </w:rPr>
        <w:t>2.</w:t>
      </w:r>
      <w:r>
        <w:rPr>
          <w:rFonts w:eastAsia="標楷體" w:hint="eastAsia"/>
          <w:kern w:val="0"/>
          <w:szCs w:val="20"/>
          <w:lang w:eastAsia="zh-CN"/>
        </w:rPr>
        <w:t>然后图</w:t>
      </w:r>
      <w:r>
        <w:rPr>
          <w:rFonts w:eastAsia="標楷體"/>
          <w:kern w:val="0"/>
          <w:szCs w:val="20"/>
          <w:lang w:eastAsia="zh-CN"/>
        </w:rPr>
        <w:t>3.</w:t>
      </w:r>
      <w:r>
        <w:rPr>
          <w:rFonts w:eastAsia="標楷體" w:hint="eastAsia"/>
          <w:kern w:val="0"/>
          <w:szCs w:val="20"/>
          <w:lang w:eastAsia="zh-CN"/>
        </w:rPr>
        <w:t>等依序标记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或是表</w:t>
      </w:r>
      <w:r>
        <w:rPr>
          <w:rFonts w:eastAsia="標楷體"/>
          <w:kern w:val="0"/>
          <w:szCs w:val="20"/>
          <w:lang w:eastAsia="zh-CN"/>
        </w:rPr>
        <w:t>1.</w:t>
      </w:r>
      <w:r>
        <w:rPr>
          <w:rFonts w:eastAsia="標楷體" w:hint="eastAsia"/>
          <w:kern w:val="0"/>
          <w:szCs w:val="20"/>
          <w:lang w:eastAsia="zh-CN"/>
        </w:rPr>
        <w:t>然后表</w:t>
      </w:r>
      <w:r>
        <w:rPr>
          <w:rFonts w:eastAsia="標楷體"/>
          <w:kern w:val="0"/>
          <w:szCs w:val="20"/>
          <w:lang w:eastAsia="zh-CN"/>
        </w:rPr>
        <w:t>2.</w:t>
      </w:r>
      <w:r>
        <w:rPr>
          <w:rFonts w:eastAsia="標楷體" w:hint="eastAsia"/>
          <w:kern w:val="0"/>
          <w:szCs w:val="20"/>
          <w:lang w:eastAsia="zh-CN"/>
        </w:rPr>
        <w:t>然后表</w:t>
      </w:r>
      <w:r>
        <w:rPr>
          <w:rFonts w:eastAsia="標楷體"/>
          <w:kern w:val="0"/>
          <w:szCs w:val="20"/>
          <w:lang w:eastAsia="zh-CN"/>
        </w:rPr>
        <w:t>3.</w:t>
      </w:r>
      <w:r>
        <w:rPr>
          <w:rFonts w:eastAsia="標楷體" w:hint="eastAsia"/>
          <w:kern w:val="0"/>
          <w:szCs w:val="20"/>
          <w:lang w:eastAsia="zh-CN"/>
        </w:rPr>
        <w:t>等依序标记</w:t>
      </w:r>
      <w:r w:rsidRPr="00D00AD0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图与表的字体依然是</w:t>
      </w:r>
      <w:r w:rsidRPr="00E978E7">
        <w:rPr>
          <w:rFonts w:eastAsia="標楷體" w:hint="eastAsia"/>
          <w:kern w:val="0"/>
          <w:szCs w:val="20"/>
          <w:lang w:eastAsia="zh-CN"/>
        </w:rPr>
        <w:t>中文标楷体，英文</w:t>
      </w:r>
      <w:r w:rsidRPr="00E978E7">
        <w:rPr>
          <w:rFonts w:eastAsia="標楷體"/>
          <w:kern w:val="0"/>
          <w:szCs w:val="20"/>
          <w:lang w:eastAsia="zh-CN"/>
        </w:rPr>
        <w:t>Times New Roman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为了调整图表大小方便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图表</w:t>
      </w:r>
      <w:r w:rsidR="00D71421" w:rsidRPr="00D71421">
        <w:rPr>
          <w:rFonts w:eastAsia="標楷體" w:hint="eastAsia"/>
          <w:kern w:val="0"/>
          <w:szCs w:val="20"/>
          <w:lang w:eastAsia="zh-CN"/>
        </w:rPr>
        <w:t>内容</w:t>
      </w:r>
      <w:r>
        <w:rPr>
          <w:rFonts w:eastAsia="標楷體" w:hint="eastAsia"/>
          <w:kern w:val="0"/>
          <w:szCs w:val="20"/>
          <w:lang w:eastAsia="zh-CN"/>
        </w:rPr>
        <w:t>不限字号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但绝对是以能越清楚阅读为重点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其中图在格式</w:t>
      </w:r>
      <w:r>
        <w:rPr>
          <w:rFonts w:eastAsia="標楷體"/>
          <w:kern w:val="0"/>
          <w:szCs w:val="20"/>
          <w:lang w:eastAsia="zh-CN"/>
        </w:rPr>
        <w:t>-</w:t>
      </w:r>
      <w:r>
        <w:rPr>
          <w:rFonts w:eastAsia="標楷體" w:hint="eastAsia"/>
          <w:kern w:val="0"/>
          <w:szCs w:val="20"/>
          <w:lang w:eastAsia="zh-CN"/>
        </w:rPr>
        <w:t>自动换行中请设定与文字排列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不然寄过来会整个跑掉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而表在表格内容</w:t>
      </w:r>
      <w:r>
        <w:rPr>
          <w:rFonts w:eastAsia="標楷體"/>
          <w:kern w:val="0"/>
          <w:szCs w:val="20"/>
          <w:lang w:eastAsia="zh-CN"/>
        </w:rPr>
        <w:t>-</w:t>
      </w:r>
      <w:r>
        <w:rPr>
          <w:rFonts w:eastAsia="標楷體" w:hint="eastAsia"/>
          <w:kern w:val="0"/>
          <w:szCs w:val="20"/>
          <w:lang w:eastAsia="zh-CN"/>
        </w:rPr>
        <w:t>表格中对齐方式请选置中</w:t>
      </w:r>
      <w:r w:rsidRPr="00E978E7">
        <w:rPr>
          <w:rFonts w:eastAsia="標楷體" w:hint="eastAsia"/>
          <w:kern w:val="0"/>
          <w:szCs w:val="20"/>
          <w:lang w:eastAsia="zh-CN"/>
        </w:rPr>
        <w:t>，</w:t>
      </w:r>
      <w:r>
        <w:rPr>
          <w:rFonts w:eastAsia="標楷體" w:hint="eastAsia"/>
          <w:kern w:val="0"/>
          <w:szCs w:val="20"/>
          <w:lang w:eastAsia="zh-CN"/>
        </w:rPr>
        <w:t>图旁串字部分请选无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。</w:t>
      </w:r>
    </w:p>
    <w:p w14:paraId="6A49D76E" w14:textId="77777777" w:rsidR="00F74B9A" w:rsidRPr="00986914" w:rsidRDefault="00F74B9A" w:rsidP="00986914">
      <w:pPr>
        <w:adjustRightInd w:val="0"/>
        <w:snapToGrid w:val="0"/>
        <w:jc w:val="both"/>
        <w:rPr>
          <w:rFonts w:eastAsia="標楷體"/>
        </w:rPr>
      </w:pPr>
    </w:p>
    <w:p w14:paraId="2DDA7632" w14:textId="77777777" w:rsidR="006F55FE" w:rsidRPr="00986914" w:rsidRDefault="00FA080D" w:rsidP="00986914">
      <w:pPr>
        <w:tabs>
          <w:tab w:val="left" w:pos="5010"/>
        </w:tabs>
        <w:adjustRightInd w:val="0"/>
        <w:snapToGrid w:val="0"/>
        <w:rPr>
          <w:rFonts w:eastAsia="標楷體"/>
          <w:kern w:val="0"/>
          <w:szCs w:val="20"/>
        </w:rPr>
      </w:pPr>
      <w:r w:rsidRPr="00986914">
        <w:rPr>
          <w:rFonts w:eastAsia="標楷體" w:hAnsi="標楷體" w:hint="eastAsia"/>
          <w:b/>
          <w:kern w:val="0"/>
          <w:szCs w:val="20"/>
          <w:lang w:eastAsia="zh-CN"/>
        </w:rPr>
        <w:t>关键词</w:t>
      </w:r>
      <w:r w:rsidR="00FB1EDF" w:rsidRPr="00E93D27">
        <w:rPr>
          <w:b/>
        </w:rPr>
        <w:t>：</w:t>
      </w:r>
      <w:r w:rsidR="00127116" w:rsidRPr="005B5FE0">
        <w:rPr>
          <w:rFonts w:eastAsia="標楷體" w:hint="eastAsia"/>
          <w:kern w:val="0"/>
        </w:rPr>
        <w:t>会展创新、商业模式创新、</w:t>
      </w:r>
      <w:r w:rsidR="00127116" w:rsidRPr="005B5FE0">
        <w:rPr>
          <w:rFonts w:eastAsia="標楷體"/>
          <w:kern w:val="0"/>
        </w:rPr>
        <w:t>高质量发展</w:t>
      </w:r>
      <w:r w:rsidRPr="00986914">
        <w:rPr>
          <w:rFonts w:eastAsia="標楷體"/>
          <w:kern w:val="0"/>
          <w:szCs w:val="20"/>
          <w:lang w:eastAsia="zh-CN"/>
        </w:rPr>
        <w:tab/>
      </w:r>
    </w:p>
    <w:p w14:paraId="30F530D6" w14:textId="77777777" w:rsidR="00F74B9A" w:rsidRPr="00986914" w:rsidRDefault="00F74B9A" w:rsidP="00986914">
      <w:pPr>
        <w:adjustRightInd w:val="0"/>
        <w:snapToGrid w:val="0"/>
        <w:jc w:val="both"/>
        <w:rPr>
          <w:rFonts w:eastAsia="標楷體"/>
        </w:rPr>
      </w:pPr>
    </w:p>
    <w:p w14:paraId="495F3EF5" w14:textId="77777777" w:rsidR="00295712" w:rsidRPr="001143D8" w:rsidRDefault="00EC3382" w:rsidP="00986914">
      <w:pPr>
        <w:widowControl/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eastAsia="標楷體"/>
          <w:b/>
          <w:kern w:val="0"/>
          <w:sz w:val="28"/>
          <w:szCs w:val="28"/>
        </w:rPr>
      </w:pPr>
      <w:r w:rsidRPr="001143D8">
        <w:rPr>
          <w:rFonts w:eastAsia="標楷體" w:hint="eastAsia"/>
          <w:b/>
          <w:kern w:val="0"/>
          <w:sz w:val="28"/>
          <w:szCs w:val="28"/>
        </w:rPr>
        <w:t>Abstract</w:t>
      </w:r>
    </w:p>
    <w:p w14:paraId="65FF2634" w14:textId="77777777" w:rsidR="0050531C" w:rsidRPr="0050531C" w:rsidRDefault="00127116" w:rsidP="0050531C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</w:rPr>
      </w:pPr>
      <w:r>
        <w:rPr>
          <w:rFonts w:eastAsia="標楷體"/>
        </w:rPr>
        <w:t>M</w:t>
      </w:r>
      <w:r w:rsidRPr="005B5FE0">
        <w:rPr>
          <w:rFonts w:eastAsia="標楷體"/>
        </w:rPr>
        <w:t xml:space="preserve">arket size </w:t>
      </w:r>
      <w:r>
        <w:rPr>
          <w:rFonts w:eastAsia="標楷體"/>
        </w:rPr>
        <w:t>of e</w:t>
      </w:r>
      <w:r w:rsidRPr="005B5FE0">
        <w:rPr>
          <w:rFonts w:eastAsia="標楷體"/>
        </w:rPr>
        <w:t xml:space="preserve">xhibition industry in </w:t>
      </w:r>
      <w:r>
        <w:rPr>
          <w:rFonts w:eastAsia="標楷體"/>
        </w:rPr>
        <w:t xml:space="preserve">China has fasten by </w:t>
      </w:r>
      <w:r w:rsidRPr="005B5FE0">
        <w:rPr>
          <w:rFonts w:eastAsia="標楷體"/>
        </w:rPr>
        <w:t>the industrial restructuring and the industry</w:t>
      </w:r>
      <w:r>
        <w:rPr>
          <w:rFonts w:eastAsia="標楷體"/>
        </w:rPr>
        <w:t>’</w:t>
      </w:r>
      <w:r w:rsidRPr="005B5FE0">
        <w:rPr>
          <w:rFonts w:eastAsia="標楷體"/>
        </w:rPr>
        <w:t>s own entrepreneurial-driven pace, from high-speed growth into a high-quality development track</w:t>
      </w:r>
      <w:r>
        <w:rPr>
          <w:rFonts w:eastAsia="標楷體"/>
        </w:rPr>
        <w:t>.</w:t>
      </w:r>
      <w:r w:rsidRPr="005B5FE0">
        <w:rPr>
          <w:rFonts w:eastAsia="標楷體"/>
        </w:rPr>
        <w:t xml:space="preserve"> </w:t>
      </w:r>
      <w:r>
        <w:rPr>
          <w:rFonts w:eastAsia="標楷體"/>
        </w:rPr>
        <w:t>T</w:t>
      </w:r>
      <w:r w:rsidRPr="005B5FE0">
        <w:rPr>
          <w:rFonts w:eastAsia="標楷體"/>
        </w:rPr>
        <w:t>he international exhibition industry in general also presents a good situation</w:t>
      </w:r>
      <w:r w:rsidRPr="002A2AAD">
        <w:rPr>
          <w:rFonts w:eastAsia="標楷體" w:hint="eastAsia"/>
        </w:rPr>
        <w:t xml:space="preserve"> </w:t>
      </w:r>
      <w:r w:rsidRPr="002A2AAD">
        <w:rPr>
          <w:rFonts w:eastAsia="標楷體"/>
        </w:rPr>
        <w:t>of sustainable development</w:t>
      </w:r>
      <w:r>
        <w:rPr>
          <w:rFonts w:eastAsia="標楷體"/>
        </w:rPr>
        <w:t xml:space="preserve"> a</w:t>
      </w:r>
      <w:r w:rsidRPr="002A2AAD">
        <w:rPr>
          <w:rFonts w:eastAsia="標楷體"/>
        </w:rPr>
        <w:t xml:space="preserve">gainst the background of comprehensive recovery </w:t>
      </w:r>
      <w:r>
        <w:rPr>
          <w:rFonts w:eastAsia="標楷體"/>
        </w:rPr>
        <w:t>of</w:t>
      </w:r>
      <w:r w:rsidRPr="005B5FE0">
        <w:rPr>
          <w:rFonts w:eastAsia="標楷體"/>
        </w:rPr>
        <w:t xml:space="preserve"> current world economy and trade</w:t>
      </w:r>
      <w:r>
        <w:rPr>
          <w:rFonts w:eastAsia="標楷體"/>
        </w:rPr>
        <w:t>. S</w:t>
      </w:r>
      <w:r w:rsidRPr="002A2AAD">
        <w:rPr>
          <w:rFonts w:eastAsia="標楷體"/>
        </w:rPr>
        <w:t>cientific and technological progress, economic and social changes</w:t>
      </w:r>
      <w:r>
        <w:rPr>
          <w:rFonts w:eastAsia="標楷體"/>
        </w:rPr>
        <w:t>,</w:t>
      </w:r>
      <w:r w:rsidRPr="002A2AAD">
        <w:rPr>
          <w:rFonts w:eastAsia="標楷體"/>
        </w:rPr>
        <w:t xml:space="preserve"> and the development of human conditions have brought about profound changes in the world exhibition industry. This paper summarizes the innovation and development of</w:t>
      </w:r>
      <w:r w:rsidRPr="002A2AAD">
        <w:rPr>
          <w:rFonts w:eastAsia="標楷體" w:hint="eastAsia"/>
        </w:rPr>
        <w:t xml:space="preserve"> </w:t>
      </w:r>
      <w:r w:rsidRPr="002A2AAD">
        <w:rPr>
          <w:rFonts w:eastAsia="標楷體"/>
        </w:rPr>
        <w:t>China</w:t>
      </w:r>
      <w:r>
        <w:rPr>
          <w:rFonts w:eastAsia="標楷體"/>
        </w:rPr>
        <w:t>’</w:t>
      </w:r>
      <w:r w:rsidRPr="002A2AAD">
        <w:rPr>
          <w:rFonts w:eastAsia="標楷體"/>
        </w:rPr>
        <w:t>s exhibition industry from the changing trend of the world exhibition industry and leads the high-quality development of China</w:t>
      </w:r>
      <w:r>
        <w:rPr>
          <w:rFonts w:eastAsia="標楷體"/>
        </w:rPr>
        <w:t>’</w:t>
      </w:r>
      <w:r w:rsidRPr="002A2AAD">
        <w:rPr>
          <w:rFonts w:eastAsia="標楷體"/>
        </w:rPr>
        <w:t>s exhibition industry with the innovation of exhibition theme, the innovation of exhibition form, the innovation of curatorial concept, the innovation of information service</w:t>
      </w:r>
      <w:r>
        <w:rPr>
          <w:rFonts w:eastAsia="標楷體"/>
        </w:rPr>
        <w:t>,</w:t>
      </w:r>
      <w:r w:rsidRPr="002A2AAD">
        <w:rPr>
          <w:rFonts w:eastAsia="標楷體"/>
        </w:rPr>
        <w:t xml:space="preserve"> the innovation of business model and</w:t>
      </w:r>
      <w:r>
        <w:rPr>
          <w:rFonts w:eastAsia="標楷體"/>
        </w:rPr>
        <w:t xml:space="preserve"> external resource innovation</w:t>
      </w:r>
      <w:r w:rsidRPr="002A2AAD">
        <w:rPr>
          <w:rFonts w:eastAsia="標楷體"/>
        </w:rPr>
        <w:t>.</w:t>
      </w:r>
    </w:p>
    <w:p w14:paraId="086973A2" w14:textId="77777777" w:rsidR="00EC3382" w:rsidRPr="004A274E" w:rsidRDefault="00EC3382" w:rsidP="00986914">
      <w:pPr>
        <w:adjustRightInd w:val="0"/>
        <w:snapToGrid w:val="0"/>
        <w:jc w:val="both"/>
        <w:rPr>
          <w:rFonts w:asciiTheme="majorHAnsi" w:eastAsia="標楷體" w:hAnsiTheme="majorHAnsi" w:cstheme="majorHAnsi"/>
        </w:rPr>
      </w:pPr>
      <w:bookmarkStart w:id="0" w:name="_Hlk10489260"/>
    </w:p>
    <w:p w14:paraId="5085C00E" w14:textId="77777777" w:rsidR="00EC3382" w:rsidRDefault="005B3D93" w:rsidP="0016575B">
      <w:pPr>
        <w:adjustRightInd w:val="0"/>
        <w:snapToGrid w:val="0"/>
        <w:ind w:left="1134" w:hangingChars="472" w:hanging="1134"/>
        <w:jc w:val="both"/>
        <w:rPr>
          <w:rFonts w:eastAsia="標楷體"/>
        </w:rPr>
      </w:pPr>
      <w:r w:rsidRPr="00A20A72">
        <w:rPr>
          <w:rFonts w:eastAsia="標楷體"/>
          <w:b/>
        </w:rPr>
        <w:t>K</w:t>
      </w:r>
      <w:r w:rsidRPr="00A20A72">
        <w:rPr>
          <w:rFonts w:eastAsia="標楷體" w:hint="eastAsia"/>
          <w:b/>
        </w:rPr>
        <w:t>eywords</w:t>
      </w:r>
      <w:r w:rsidRPr="00A023DA">
        <w:rPr>
          <w:rFonts w:eastAsia="標楷體" w:hint="eastAsia"/>
          <w:b/>
          <w:bCs/>
        </w:rPr>
        <w:t>:</w:t>
      </w:r>
      <w:r w:rsidR="001143D8">
        <w:rPr>
          <w:rFonts w:eastAsia="標楷體" w:hint="eastAsia"/>
        </w:rPr>
        <w:t xml:space="preserve"> </w:t>
      </w:r>
      <w:r w:rsidR="00127116">
        <w:rPr>
          <w:rFonts w:eastAsia="標楷體"/>
        </w:rPr>
        <w:t>E</w:t>
      </w:r>
      <w:r w:rsidR="00127116" w:rsidRPr="002A2AAD">
        <w:rPr>
          <w:rFonts w:eastAsia="標楷體"/>
        </w:rPr>
        <w:t xml:space="preserve">xhibition </w:t>
      </w:r>
      <w:r w:rsidR="00127116">
        <w:rPr>
          <w:rFonts w:eastAsia="標楷體"/>
        </w:rPr>
        <w:t>I</w:t>
      </w:r>
      <w:r w:rsidR="00127116" w:rsidRPr="002A2AAD">
        <w:rPr>
          <w:rFonts w:eastAsia="標楷體"/>
        </w:rPr>
        <w:t xml:space="preserve">nnovation, </w:t>
      </w:r>
      <w:r w:rsidR="00127116">
        <w:rPr>
          <w:rFonts w:eastAsia="標楷體"/>
        </w:rPr>
        <w:t>B</w:t>
      </w:r>
      <w:r w:rsidR="00127116" w:rsidRPr="002A2AAD">
        <w:rPr>
          <w:rFonts w:eastAsia="標楷體"/>
        </w:rPr>
        <w:t xml:space="preserve">usiness </w:t>
      </w:r>
      <w:r w:rsidR="00127116">
        <w:rPr>
          <w:rFonts w:eastAsia="標楷體"/>
        </w:rPr>
        <w:t>M</w:t>
      </w:r>
      <w:r w:rsidR="00127116" w:rsidRPr="002A2AAD">
        <w:rPr>
          <w:rFonts w:eastAsia="標楷體"/>
        </w:rPr>
        <w:t>odel</w:t>
      </w:r>
      <w:r w:rsidR="00127116">
        <w:rPr>
          <w:rFonts w:eastAsia="標楷體"/>
        </w:rPr>
        <w:t xml:space="preserve"> I</w:t>
      </w:r>
      <w:r w:rsidR="00127116" w:rsidRPr="002A2AAD">
        <w:rPr>
          <w:rFonts w:eastAsia="標楷體"/>
        </w:rPr>
        <w:t xml:space="preserve">nnovation, </w:t>
      </w:r>
      <w:r w:rsidR="00127116">
        <w:rPr>
          <w:rFonts w:eastAsia="標楷體"/>
        </w:rPr>
        <w:t>H</w:t>
      </w:r>
      <w:r w:rsidR="00127116" w:rsidRPr="002A2AAD">
        <w:rPr>
          <w:rFonts w:eastAsia="標楷體"/>
        </w:rPr>
        <w:t xml:space="preserve">igh-quality </w:t>
      </w:r>
      <w:r w:rsidR="00127116">
        <w:rPr>
          <w:rFonts w:eastAsia="標楷體"/>
        </w:rPr>
        <w:t>D</w:t>
      </w:r>
      <w:r w:rsidR="00127116" w:rsidRPr="002A2AAD">
        <w:rPr>
          <w:rFonts w:eastAsia="標楷體"/>
        </w:rPr>
        <w:t>evelopment</w:t>
      </w:r>
    </w:p>
    <w:p w14:paraId="3625A763" w14:textId="77777777" w:rsidR="00127116" w:rsidRDefault="00127116" w:rsidP="0016575B">
      <w:pPr>
        <w:adjustRightInd w:val="0"/>
        <w:snapToGrid w:val="0"/>
        <w:ind w:left="1133" w:hangingChars="472" w:hanging="1133"/>
        <w:jc w:val="both"/>
        <w:rPr>
          <w:rFonts w:eastAsia="標楷體"/>
        </w:rPr>
      </w:pPr>
    </w:p>
    <w:p w14:paraId="5D9353AF" w14:textId="77777777" w:rsidR="00127116" w:rsidRPr="00986914" w:rsidRDefault="00127116" w:rsidP="0016575B">
      <w:pPr>
        <w:adjustRightInd w:val="0"/>
        <w:snapToGrid w:val="0"/>
        <w:ind w:left="1133" w:hangingChars="472" w:hanging="1133"/>
        <w:jc w:val="both"/>
        <w:rPr>
          <w:rFonts w:eastAsia="標楷體"/>
        </w:rPr>
      </w:pPr>
    </w:p>
    <w:bookmarkEnd w:id="0"/>
    <w:p w14:paraId="77FE4ECA" w14:textId="77777777" w:rsidR="00F74B9A" w:rsidRPr="00687540" w:rsidRDefault="00FA080D" w:rsidP="006875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687540">
        <w:rPr>
          <w:rFonts w:eastAsia="標楷體" w:hAnsi="標楷體" w:hint="eastAsia"/>
          <w:b/>
          <w:kern w:val="0"/>
          <w:sz w:val="28"/>
          <w:szCs w:val="28"/>
          <w:lang w:eastAsia="zh-CN"/>
        </w:rPr>
        <w:lastRenderedPageBreak/>
        <w:t>前言</w:t>
      </w:r>
    </w:p>
    <w:p w14:paraId="7221A300" w14:textId="18435D89" w:rsidR="00D00AD0" w:rsidRPr="00986914" w:rsidRDefault="00FA080D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lang w:eastAsia="zh-CN"/>
        </w:rPr>
      </w:pPr>
      <w:r w:rsidRPr="00B31ECA">
        <w:rPr>
          <w:rFonts w:eastAsia="標楷體" w:hint="eastAsia"/>
          <w:lang w:eastAsia="zh-CN"/>
        </w:rPr>
        <w:t>今</w:t>
      </w:r>
      <w:r>
        <w:rPr>
          <w:rFonts w:eastAsia="標楷體" w:hint="eastAsia"/>
          <w:lang w:eastAsia="zh-CN"/>
        </w:rPr>
        <w:t>日</w:t>
      </w:r>
      <w:r w:rsidRPr="00B31ECA">
        <w:rPr>
          <w:rFonts w:eastAsia="標楷體" w:hint="eastAsia"/>
          <w:lang w:eastAsia="zh-CN"/>
        </w:rPr>
        <w:t>的商业环境被描述为知识经济（</w:t>
      </w:r>
      <w:r w:rsidR="00D71421" w:rsidRPr="00C65064">
        <w:rPr>
          <w:rFonts w:eastAsia="標楷體"/>
          <w:kern w:val="0"/>
          <w:lang w:eastAsia="zh-CN"/>
        </w:rPr>
        <w:t>Powers &amp; Cookson</w:t>
      </w:r>
      <w:r w:rsidRPr="00B31ECA">
        <w:rPr>
          <w:rFonts w:eastAsia="標楷體" w:hint="eastAsia"/>
          <w:lang w:eastAsia="zh-CN"/>
        </w:rPr>
        <w:t>，</w:t>
      </w:r>
      <w:r w:rsidRPr="00B31ECA">
        <w:rPr>
          <w:rFonts w:eastAsia="標楷體"/>
          <w:lang w:eastAsia="zh-CN"/>
        </w:rPr>
        <w:t>19</w:t>
      </w:r>
      <w:r w:rsidR="00D71421">
        <w:rPr>
          <w:rFonts w:eastAsia="標楷體"/>
          <w:lang w:eastAsia="zh-CN"/>
        </w:rPr>
        <w:t>9</w:t>
      </w:r>
      <w:r w:rsidRPr="00B31ECA">
        <w:rPr>
          <w:rFonts w:eastAsia="標楷體"/>
          <w:lang w:eastAsia="zh-CN"/>
        </w:rPr>
        <w:t>9</w:t>
      </w:r>
      <w:r w:rsidRPr="00B31ECA">
        <w:rPr>
          <w:rFonts w:eastAsia="標楷體" w:hint="eastAsia"/>
          <w:lang w:eastAsia="zh-CN"/>
        </w:rPr>
        <w:t>），其中知识是许多组织的中心输入</w:t>
      </w:r>
      <w:r w:rsidRPr="00FA080D">
        <w:rPr>
          <w:rFonts w:ascii="新細明體" w:eastAsia="標楷體" w:hAnsi="新細明體" w:hint="eastAsia"/>
          <w:lang w:eastAsia="zh-CN"/>
        </w:rPr>
        <w:t>、</w:t>
      </w:r>
      <w:r w:rsidRPr="00B31ECA">
        <w:rPr>
          <w:rFonts w:eastAsia="標楷體" w:hint="eastAsia"/>
          <w:lang w:eastAsia="zh-CN"/>
        </w:rPr>
        <w:t>活动和输出。在这个新时代，知识被视为组织成功的最基本资产（</w:t>
      </w:r>
      <w:r w:rsidR="00D71421" w:rsidRPr="00955B47">
        <w:rPr>
          <w:rFonts w:eastAsia="標楷體"/>
          <w:lang w:eastAsia="zh-CN"/>
        </w:rPr>
        <w:t>Simon</w:t>
      </w:r>
      <w:r w:rsidRPr="00B31ECA">
        <w:rPr>
          <w:rFonts w:eastAsia="標楷體" w:hint="eastAsia"/>
          <w:lang w:eastAsia="zh-CN"/>
        </w:rPr>
        <w:t>，</w:t>
      </w:r>
      <w:r w:rsidRPr="00B31ECA">
        <w:rPr>
          <w:rFonts w:eastAsia="標楷體"/>
          <w:lang w:eastAsia="zh-CN"/>
        </w:rPr>
        <w:t>1996</w:t>
      </w:r>
      <w:bookmarkStart w:id="1" w:name="_Hlk62660642"/>
      <w:r w:rsidRPr="00D00AD0">
        <w:rPr>
          <w:rFonts w:eastAsia="標楷體" w:hint="eastAsia"/>
          <w:kern w:val="0"/>
          <w:szCs w:val="20"/>
          <w:lang w:eastAsia="zh-CN"/>
        </w:rPr>
        <w:t>；</w:t>
      </w:r>
      <w:bookmarkEnd w:id="1"/>
      <w:r w:rsidR="00D71421">
        <w:rPr>
          <w:rFonts w:eastAsia="標楷體"/>
          <w:lang w:eastAsia="zh-CN"/>
        </w:rPr>
        <w:t>赵爱玲</w:t>
      </w:r>
      <w:r w:rsidR="00D71421" w:rsidRPr="00A441EC">
        <w:rPr>
          <w:rFonts w:eastAsia="標楷體" w:hint="eastAsia"/>
          <w:lang w:eastAsia="zh-CN"/>
        </w:rPr>
        <w:t>，</w:t>
      </w:r>
      <w:r w:rsidR="00D71421" w:rsidRPr="00640185">
        <w:rPr>
          <w:rFonts w:eastAsiaTheme="minorEastAsia"/>
          <w:lang w:eastAsia="zh-CN"/>
        </w:rPr>
        <w:t>201</w:t>
      </w:r>
      <w:r w:rsidR="00D71421">
        <w:rPr>
          <w:rFonts w:eastAsiaTheme="minorEastAsia" w:hint="eastAsia"/>
          <w:lang w:eastAsia="zh-CN"/>
        </w:rPr>
        <w:t>0</w:t>
      </w:r>
      <w:r w:rsidRPr="00B31ECA">
        <w:rPr>
          <w:rFonts w:eastAsia="標楷體" w:hint="eastAsia"/>
          <w:lang w:eastAsia="zh-CN"/>
        </w:rPr>
        <w:t>），</w:t>
      </w:r>
      <w:r>
        <w:rPr>
          <w:rFonts w:eastAsia="標楷體" w:hint="eastAsia"/>
          <w:lang w:eastAsia="zh-CN"/>
        </w:rPr>
        <w:t>此</w:t>
      </w:r>
      <w:r w:rsidRPr="00B31ECA">
        <w:rPr>
          <w:rFonts w:eastAsia="標楷體" w:hint="eastAsia"/>
          <w:lang w:eastAsia="zh-CN"/>
        </w:rPr>
        <w:t>概念使得大部分学术研究都集中在知识作为一种商品或服务，由被称为</w:t>
      </w:r>
      <w:bookmarkStart w:id="2" w:name="_Hlk47961317"/>
      <w:r w:rsidR="00040AFF" w:rsidRPr="005848ED">
        <w:rPr>
          <w:rFonts w:eastAsiaTheme="minorEastAsia"/>
          <w:lang w:eastAsia="zh-CN"/>
        </w:rPr>
        <w:t>“</w:t>
      </w:r>
      <w:r w:rsidRPr="00CF6783">
        <w:rPr>
          <w:rFonts w:eastAsia="標楷體" w:hint="eastAsia"/>
          <w:lang w:eastAsia="zh-CN"/>
        </w:rPr>
        <w:t>知识市场</w:t>
      </w:r>
      <w:r>
        <w:rPr>
          <w:rFonts w:eastAsia="標楷體"/>
          <w:lang w:eastAsia="zh-CN"/>
        </w:rPr>
        <w:t>”</w:t>
      </w:r>
      <w:bookmarkEnd w:id="2"/>
      <w:r w:rsidRPr="00B31ECA">
        <w:rPr>
          <w:rFonts w:eastAsia="標楷體" w:hint="eastAsia"/>
          <w:lang w:eastAsia="zh-CN"/>
        </w:rPr>
        <w:t>的定价机制所支配的市场交易转移（</w:t>
      </w:r>
      <w:r w:rsidR="00D71421" w:rsidRPr="00B74430">
        <w:rPr>
          <w:rFonts w:eastAsia="標楷體"/>
          <w:lang w:eastAsia="zh-CN"/>
        </w:rPr>
        <w:t>焦微玲</w:t>
      </w:r>
      <w:r w:rsidR="00D71421" w:rsidRPr="00D71421">
        <w:rPr>
          <w:rFonts w:eastAsia="標楷體" w:hint="eastAsia"/>
          <w:lang w:eastAsia="zh-CN"/>
        </w:rPr>
        <w:t>与</w:t>
      </w:r>
      <w:r w:rsidR="00D71421" w:rsidRPr="00B74430">
        <w:rPr>
          <w:rFonts w:eastAsia="標楷體"/>
          <w:lang w:eastAsia="zh-CN"/>
        </w:rPr>
        <w:t>裴雷</w:t>
      </w:r>
      <w:r w:rsidR="00D71421" w:rsidRPr="00B31ECA">
        <w:rPr>
          <w:rFonts w:eastAsia="標楷體" w:hint="eastAsia"/>
          <w:lang w:eastAsia="zh-CN"/>
        </w:rPr>
        <w:t>，</w:t>
      </w:r>
      <w:r w:rsidR="00D71421" w:rsidRPr="00B74430">
        <w:rPr>
          <w:rFonts w:eastAsia="標楷體"/>
          <w:lang w:eastAsia="zh-CN"/>
        </w:rPr>
        <w:t>201</w:t>
      </w:r>
      <w:r w:rsidR="00D71421">
        <w:rPr>
          <w:rFonts w:eastAsia="標楷體" w:hint="eastAsia"/>
          <w:lang w:eastAsia="zh-CN"/>
        </w:rPr>
        <w:t>3</w:t>
      </w:r>
      <w:r w:rsidRPr="00D00AD0">
        <w:rPr>
          <w:rFonts w:eastAsia="標楷體" w:hint="eastAsia"/>
          <w:kern w:val="0"/>
          <w:szCs w:val="20"/>
          <w:lang w:eastAsia="zh-CN"/>
        </w:rPr>
        <w:t>；</w:t>
      </w:r>
      <w:r w:rsidR="00D71421" w:rsidRPr="00B74430">
        <w:rPr>
          <w:rFonts w:eastAsia="標楷體"/>
          <w:lang w:eastAsia="zh-CN"/>
        </w:rPr>
        <w:t>张越</w:t>
      </w:r>
      <w:r w:rsidR="00D71421" w:rsidRPr="00B31ECA">
        <w:rPr>
          <w:rFonts w:eastAsia="標楷體" w:hint="eastAsia"/>
          <w:lang w:eastAsia="zh-CN"/>
        </w:rPr>
        <w:t>，</w:t>
      </w:r>
      <w:r w:rsidR="00D71421" w:rsidRPr="00B74430">
        <w:rPr>
          <w:rFonts w:eastAsia="標楷體"/>
          <w:lang w:eastAsia="zh-CN"/>
        </w:rPr>
        <w:t>2017</w:t>
      </w:r>
      <w:r w:rsidRPr="00B31ECA">
        <w:rPr>
          <w:rFonts w:eastAsia="標楷體" w:hint="eastAsia"/>
          <w:lang w:eastAsia="zh-CN"/>
        </w:rPr>
        <w:t>）。知识市场促使、支持和促进提供者（卖家）和用户（买家）之间的信息和知识的动员</w:t>
      </w:r>
      <w:r w:rsidRPr="00FA080D">
        <w:rPr>
          <w:rFonts w:ascii="新細明體" w:eastAsia="標楷體" w:hAnsi="新細明體" w:hint="eastAsia"/>
          <w:lang w:eastAsia="zh-CN"/>
        </w:rPr>
        <w:t>、</w:t>
      </w:r>
      <w:r w:rsidRPr="00B31ECA">
        <w:rPr>
          <w:rFonts w:eastAsia="標楷體" w:hint="eastAsia"/>
          <w:lang w:eastAsia="zh-CN"/>
        </w:rPr>
        <w:t>共享和交换，买方和卖方都认为</w:t>
      </w:r>
      <w:r>
        <w:rPr>
          <w:rFonts w:eastAsia="標楷體" w:hint="eastAsia"/>
          <w:lang w:eastAsia="zh-CN"/>
        </w:rPr>
        <w:t>其</w:t>
      </w:r>
      <w:r w:rsidRPr="00B31ECA">
        <w:rPr>
          <w:rFonts w:eastAsia="標楷體" w:hint="eastAsia"/>
          <w:lang w:eastAsia="zh-CN"/>
        </w:rPr>
        <w:t>在知识市场交易中受益并获得效用。</w:t>
      </w:r>
    </w:p>
    <w:p w14:paraId="0F772E84" w14:textId="77777777" w:rsidR="00A52FCC" w:rsidRPr="00986914" w:rsidRDefault="00A52FCC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lang w:eastAsia="zh-CN"/>
        </w:rPr>
      </w:pPr>
    </w:p>
    <w:p w14:paraId="6A4026A3" w14:textId="77777777" w:rsidR="00364092" w:rsidRPr="00687540" w:rsidRDefault="00FA080D" w:rsidP="006875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687540">
        <w:rPr>
          <w:rFonts w:eastAsia="標楷體" w:hAnsi="標楷體" w:hint="eastAsia"/>
          <w:b/>
          <w:kern w:val="0"/>
          <w:sz w:val="28"/>
          <w:szCs w:val="28"/>
          <w:lang w:eastAsia="zh-CN"/>
        </w:rPr>
        <w:t>数学模式建构</w:t>
      </w:r>
    </w:p>
    <w:p w14:paraId="3A172D42" w14:textId="280D109F" w:rsidR="00364092" w:rsidRDefault="00FA080D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SimSun"/>
          <w:lang w:eastAsia="zh-CN"/>
        </w:rPr>
      </w:pPr>
      <w:r>
        <w:rPr>
          <w:rFonts w:eastAsia="標楷體" w:hint="eastAsia"/>
          <w:lang w:eastAsia="zh-CN"/>
        </w:rPr>
        <w:t>开放取用</w:t>
      </w:r>
      <w:r w:rsidRPr="00AF16AC">
        <w:rPr>
          <w:rFonts w:eastAsia="標楷體" w:hint="eastAsia"/>
          <w:lang w:eastAsia="zh-CN"/>
        </w:rPr>
        <w:t>期刊的上述特征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使得现行的知识交流方式发生了较大的变化。</w:t>
      </w:r>
      <w:r>
        <w:rPr>
          <w:rFonts w:eastAsia="標楷體" w:hint="eastAsia"/>
          <w:lang w:eastAsia="zh-CN"/>
        </w:rPr>
        <w:t>开放取用</w:t>
      </w:r>
      <w:r w:rsidRPr="00AF16AC">
        <w:rPr>
          <w:rFonts w:eastAsia="標楷體" w:hint="eastAsia"/>
          <w:lang w:eastAsia="zh-CN"/>
        </w:rPr>
        <w:t>作为新的学术交流理念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对知识交流的形式和内容方面带来了一定的影响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虽然通过纸本期刊文献开展的知识交流形式依然存在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且占据重要的位置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但随着网络和信息技术的发展</w:t>
      </w:r>
      <w:r w:rsidRPr="00A441EC">
        <w:rPr>
          <w:rFonts w:eastAsia="標楷體" w:hint="eastAsia"/>
          <w:lang w:eastAsia="zh-CN"/>
        </w:rPr>
        <w:t>，</w:t>
      </w:r>
      <w:r w:rsidRPr="00AF16AC">
        <w:rPr>
          <w:rFonts w:eastAsia="標楷體" w:hint="eastAsia"/>
          <w:lang w:eastAsia="zh-CN"/>
        </w:rPr>
        <w:t>知识交流的形式和管道逐渐多样化</w:t>
      </w:r>
      <w:r w:rsidR="00D71421" w:rsidRPr="00B31ECA">
        <w:rPr>
          <w:rFonts w:eastAsia="標楷體" w:hint="eastAsia"/>
          <w:lang w:eastAsia="zh-CN"/>
        </w:rPr>
        <w:t>（</w:t>
      </w:r>
      <w:r w:rsidR="00D71421">
        <w:rPr>
          <w:rFonts w:eastAsia="標楷體"/>
          <w:lang w:eastAsia="zh-CN"/>
        </w:rPr>
        <w:t>Messe Duesseldorf</w:t>
      </w:r>
      <w:r w:rsidR="00D71421" w:rsidRPr="00A441EC">
        <w:rPr>
          <w:rFonts w:eastAsia="標楷體" w:hint="eastAsia"/>
          <w:lang w:eastAsia="zh-CN"/>
        </w:rPr>
        <w:t>，</w:t>
      </w:r>
      <w:r w:rsidR="00D71421" w:rsidRPr="00640185">
        <w:rPr>
          <w:rFonts w:eastAsiaTheme="minorEastAsia"/>
          <w:lang w:eastAsia="zh-CN"/>
        </w:rPr>
        <w:t>201</w:t>
      </w:r>
      <w:r w:rsidR="00D71421">
        <w:rPr>
          <w:rFonts w:eastAsiaTheme="minorEastAsia"/>
          <w:lang w:eastAsia="zh-CN"/>
        </w:rPr>
        <w:t>6</w:t>
      </w:r>
      <w:r w:rsidR="00D71421" w:rsidRPr="00B31ECA">
        <w:rPr>
          <w:rFonts w:eastAsia="標楷體" w:hint="eastAsia"/>
          <w:lang w:eastAsia="zh-CN"/>
        </w:rPr>
        <w:t>）</w:t>
      </w:r>
      <w:r w:rsidRPr="00AF16AC">
        <w:rPr>
          <w:rFonts w:eastAsia="標楷體" w:hint="eastAsia"/>
          <w:lang w:eastAsia="zh-CN"/>
        </w:rPr>
        <w:t>。</w:t>
      </w:r>
    </w:p>
    <w:p w14:paraId="263001FD" w14:textId="77777777" w:rsidR="00895040" w:rsidRPr="00895040" w:rsidRDefault="00895040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SimSun"/>
          <w:kern w:val="0"/>
          <w:szCs w:val="20"/>
          <w:lang w:eastAsia="zh-CN"/>
        </w:rPr>
      </w:pPr>
    </w:p>
    <w:p w14:paraId="1AC9058E" w14:textId="2E3D843C" w:rsidR="00364092" w:rsidRPr="00B178A9" w:rsidRDefault="00FA080D" w:rsidP="00B178A9">
      <w:pPr>
        <w:pStyle w:val="af6"/>
        <w:widowControl/>
        <w:numPr>
          <w:ilvl w:val="1"/>
          <w:numId w:val="7"/>
        </w:numPr>
        <w:overflowPunct w:val="0"/>
        <w:autoSpaceDE w:val="0"/>
        <w:autoSpaceDN w:val="0"/>
        <w:adjustRightInd w:val="0"/>
        <w:snapToGrid w:val="0"/>
        <w:ind w:leftChars="0"/>
        <w:jc w:val="both"/>
        <w:textAlignment w:val="baseline"/>
        <w:rPr>
          <w:rFonts w:eastAsia="標楷體"/>
          <w:b/>
          <w:kern w:val="0"/>
          <w:szCs w:val="20"/>
        </w:rPr>
      </w:pPr>
      <w:r w:rsidRPr="00B178A9">
        <w:rPr>
          <w:rFonts w:eastAsia="標楷體" w:hAnsi="標楷體" w:hint="eastAsia"/>
          <w:b/>
          <w:kern w:val="0"/>
          <w:szCs w:val="20"/>
          <w:lang w:eastAsia="zh-CN"/>
        </w:rPr>
        <w:t>研究假设</w:t>
      </w:r>
    </w:p>
    <w:p w14:paraId="2CE6C65E" w14:textId="17E2BB2A" w:rsidR="00364092" w:rsidRPr="00986914" w:rsidRDefault="00FA080D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  <w:lang w:eastAsia="zh-CN"/>
        </w:rPr>
      </w:pPr>
      <w:r w:rsidRPr="00986914">
        <w:rPr>
          <w:rFonts w:eastAsia="標楷體" w:hAnsi="標楷體" w:hint="eastAsia"/>
          <w:kern w:val="0"/>
          <w:szCs w:val="20"/>
          <w:lang w:eastAsia="zh-CN"/>
        </w:rPr>
        <w:t>本研究建构一以利润极大化为目标的非线性整数规划</w:t>
      </w:r>
      <w:r w:rsidR="00D458A7" w:rsidRPr="00B31ECA">
        <w:rPr>
          <w:rFonts w:eastAsia="標楷體" w:hint="eastAsia"/>
          <w:lang w:eastAsia="zh-CN"/>
        </w:rPr>
        <w:t>（</w:t>
      </w:r>
      <w:r w:rsidRPr="00986914">
        <w:rPr>
          <w:rFonts w:eastAsia="標楷體"/>
          <w:kern w:val="0"/>
          <w:szCs w:val="20"/>
          <w:lang w:eastAsia="zh-CN"/>
        </w:rPr>
        <w:t>Integer Nonlinear Programming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，</w:t>
      </w:r>
      <w:r w:rsidRPr="00986914">
        <w:rPr>
          <w:rFonts w:eastAsia="標楷體"/>
          <w:kern w:val="0"/>
          <w:szCs w:val="20"/>
          <w:lang w:eastAsia="zh-CN"/>
        </w:rPr>
        <w:t>INLP</w:t>
      </w:r>
      <w:r w:rsidR="00D458A7" w:rsidRPr="00B31ECA">
        <w:rPr>
          <w:rFonts w:eastAsia="標楷體" w:hint="eastAsia"/>
          <w:lang w:eastAsia="zh-CN"/>
        </w:rPr>
        <w:t>）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模型。兹将本研究之假设罗列如下：</w:t>
      </w:r>
    </w:p>
    <w:p w14:paraId="2C54DD51" w14:textId="77777777" w:rsidR="00364092" w:rsidRPr="00986914" w:rsidRDefault="00FA080D" w:rsidP="00986914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rFonts w:eastAsia="標楷體"/>
        </w:rPr>
      </w:pPr>
      <w:r w:rsidRPr="00986914">
        <w:rPr>
          <w:rFonts w:eastAsia="標楷體" w:hAnsi="標楷體" w:hint="eastAsia"/>
          <w:lang w:eastAsia="zh-CN"/>
        </w:rPr>
        <w:t>假设本研究之工厂在某时间内接获数张订单，且各订单生产相同种类产品，订单所下达的数量，将不会因任何因素而改变。</w:t>
      </w:r>
    </w:p>
    <w:p w14:paraId="4EBB25BF" w14:textId="77777777" w:rsidR="00364092" w:rsidRPr="00986914" w:rsidRDefault="00FA080D" w:rsidP="00986914">
      <w:pPr>
        <w:numPr>
          <w:ilvl w:val="0"/>
          <w:numId w:val="1"/>
        </w:numPr>
        <w:tabs>
          <w:tab w:val="clear" w:pos="480"/>
        </w:tabs>
        <w:autoSpaceDE w:val="0"/>
        <w:autoSpaceDN w:val="0"/>
        <w:adjustRightInd w:val="0"/>
        <w:snapToGrid w:val="0"/>
        <w:ind w:left="180" w:hanging="180"/>
        <w:jc w:val="both"/>
        <w:rPr>
          <w:rFonts w:eastAsia="標楷體"/>
        </w:rPr>
      </w:pPr>
      <w:r w:rsidRPr="00986914">
        <w:rPr>
          <w:rFonts w:eastAsia="標楷體" w:hAnsi="標楷體" w:hint="eastAsia"/>
          <w:lang w:eastAsia="zh-CN"/>
        </w:rPr>
        <w:t>假设各订单交货期为已知，因此各订单的生产计划长度为已知。</w:t>
      </w:r>
    </w:p>
    <w:p w14:paraId="7CA3E880" w14:textId="77777777" w:rsidR="00364092" w:rsidRPr="00986914" w:rsidRDefault="00364092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371B67B8" w14:textId="77777777" w:rsidR="00364092" w:rsidRPr="00986914" w:rsidRDefault="00FA080D" w:rsidP="00986914">
      <w:pPr>
        <w:adjustRightInd w:val="0"/>
        <w:snapToGrid w:val="0"/>
        <w:rPr>
          <w:rFonts w:eastAsia="標楷體"/>
          <w:b/>
          <w:bCs/>
        </w:rPr>
      </w:pPr>
      <w:r>
        <w:rPr>
          <w:rFonts w:eastAsia="標楷體"/>
          <w:b/>
          <w:bCs/>
          <w:lang w:eastAsia="zh-CN"/>
        </w:rPr>
        <w:t xml:space="preserve">2.2 </w:t>
      </w:r>
      <w:r w:rsidRPr="00986914">
        <w:rPr>
          <w:rFonts w:eastAsia="標楷體" w:hAnsi="標楷體" w:hint="eastAsia"/>
          <w:b/>
          <w:bCs/>
          <w:lang w:eastAsia="zh-CN"/>
        </w:rPr>
        <w:t>符号说明</w:t>
      </w:r>
    </w:p>
    <w:p w14:paraId="3166C301" w14:textId="77777777" w:rsidR="00364092" w:rsidRPr="00986914" w:rsidRDefault="00FA080D" w:rsidP="00986914">
      <w:pPr>
        <w:widowControl/>
        <w:adjustRightInd w:val="0"/>
        <w:snapToGrid w:val="0"/>
        <w:jc w:val="both"/>
        <w:rPr>
          <w:rFonts w:eastAsia="標楷體"/>
          <w:i/>
          <w:kern w:val="0"/>
        </w:rPr>
      </w:pPr>
      <w:r w:rsidRPr="00986914">
        <w:rPr>
          <w:rFonts w:eastAsia="標楷體"/>
          <w:i/>
          <w:kern w:val="0"/>
          <w:lang w:eastAsia="zh-CN"/>
        </w:rPr>
        <w:t xml:space="preserve">i : </w:t>
      </w:r>
      <w:r w:rsidRPr="00986914">
        <w:rPr>
          <w:rFonts w:eastAsia="標楷體" w:hAnsi="標楷體" w:hint="eastAsia"/>
          <w:i/>
          <w:kern w:val="0"/>
          <w:lang w:eastAsia="zh-CN"/>
        </w:rPr>
        <w:t>订单别，</w:t>
      </w:r>
      <w:r w:rsidRPr="00986914">
        <w:rPr>
          <w:rFonts w:eastAsia="標楷體"/>
          <w:i/>
          <w:kern w:val="0"/>
          <w:lang w:eastAsia="zh-CN"/>
        </w:rPr>
        <w:t>i=1,2,3,…..,I</w:t>
      </w:r>
      <w:r w:rsidR="00364092" w:rsidRPr="00986914">
        <w:rPr>
          <w:rFonts w:eastAsia="標楷體"/>
          <w:i/>
          <w:kern w:val="0"/>
        </w:rPr>
        <w:t xml:space="preserve"> </w:t>
      </w:r>
    </w:p>
    <w:p w14:paraId="4E53C9F0" w14:textId="77777777" w:rsidR="00364092" w:rsidRPr="00986914" w:rsidRDefault="00FA080D" w:rsidP="00986914">
      <w:pPr>
        <w:widowControl/>
        <w:adjustRightInd w:val="0"/>
        <w:snapToGrid w:val="0"/>
        <w:jc w:val="both"/>
        <w:rPr>
          <w:rFonts w:eastAsia="標楷體"/>
          <w:i/>
          <w:kern w:val="0"/>
        </w:rPr>
      </w:pPr>
      <w:r w:rsidRPr="00986914">
        <w:rPr>
          <w:rFonts w:eastAsia="標楷體"/>
          <w:i/>
          <w:kern w:val="0"/>
          <w:lang w:eastAsia="zh-CN"/>
        </w:rPr>
        <w:t xml:space="preserve">j : </w:t>
      </w:r>
      <w:r w:rsidRPr="00986914">
        <w:rPr>
          <w:rFonts w:eastAsia="標楷體" w:hAnsi="標楷體" w:hint="eastAsia"/>
          <w:i/>
          <w:kern w:val="0"/>
          <w:lang w:eastAsia="zh-CN"/>
        </w:rPr>
        <w:t>产品别，</w:t>
      </w:r>
      <w:r w:rsidRPr="00986914">
        <w:rPr>
          <w:rFonts w:eastAsia="標楷體"/>
          <w:i/>
          <w:kern w:val="0"/>
          <w:lang w:eastAsia="zh-CN"/>
        </w:rPr>
        <w:t>j= 1,2,3,…..,J</w:t>
      </w:r>
      <w:r w:rsidR="00364092" w:rsidRPr="00986914">
        <w:rPr>
          <w:rFonts w:eastAsia="標楷體"/>
          <w:i/>
          <w:kern w:val="0"/>
        </w:rPr>
        <w:t xml:space="preserve"> </w:t>
      </w:r>
    </w:p>
    <w:p w14:paraId="7F76EE73" w14:textId="77777777" w:rsidR="00364092" w:rsidRPr="00684ED8" w:rsidRDefault="00364092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10A6B20F" w14:textId="77777777" w:rsidR="00364092" w:rsidRPr="00986914" w:rsidRDefault="00FA080D" w:rsidP="00986914">
      <w:pPr>
        <w:adjustRightInd w:val="0"/>
        <w:snapToGrid w:val="0"/>
        <w:jc w:val="both"/>
        <w:rPr>
          <w:rFonts w:eastAsia="標楷體"/>
          <w:b/>
        </w:rPr>
      </w:pPr>
      <w:r>
        <w:rPr>
          <w:rFonts w:eastAsia="標楷體"/>
          <w:b/>
          <w:lang w:eastAsia="zh-CN"/>
        </w:rPr>
        <w:t>2.3</w:t>
      </w:r>
      <w:r w:rsidRPr="00986914">
        <w:rPr>
          <w:rFonts w:eastAsia="標楷體" w:hAnsi="標楷體" w:hint="eastAsia"/>
          <w:b/>
          <w:lang w:eastAsia="zh-CN"/>
        </w:rPr>
        <w:t>输入参数</w:t>
      </w:r>
    </w:p>
    <w:p w14:paraId="66099BB9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</w:rPr>
      </w:pPr>
      <w:r w:rsidRPr="00986914">
        <w:rPr>
          <w:rFonts w:eastAsia="標楷體"/>
          <w:kern w:val="0"/>
          <w:position w:val="-14"/>
        </w:rPr>
        <w:object w:dxaOrig="340" w:dyaOrig="380" w14:anchorId="72F78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9pt" o:ole="">
            <v:imagedata r:id="rId8" o:title=""/>
          </v:shape>
          <o:OLEObject Type="Embed" ProgID="Equation.3" ShapeID="_x0000_i1025" DrawAspect="Content" ObjectID="_1680167763" r:id="rId9"/>
        </w:object>
      </w:r>
      <w:r w:rsidR="00FA080D" w:rsidRPr="00986914">
        <w:rPr>
          <w:rFonts w:eastAsia="標楷體"/>
          <w:kern w:val="0"/>
          <w:lang w:eastAsia="zh-CN"/>
        </w:rPr>
        <w:t>:</w:t>
      </w:r>
      <w:r w:rsidR="00FA080D" w:rsidRPr="00986914">
        <w:rPr>
          <w:rFonts w:eastAsia="標楷體" w:hAnsi="標楷體" w:hint="eastAsia"/>
          <w:kern w:val="0"/>
          <w:lang w:eastAsia="zh-CN"/>
        </w:rPr>
        <w:t>第</w:t>
      </w:r>
      <w:r w:rsidR="00FA080D" w:rsidRPr="00986914">
        <w:rPr>
          <w:rFonts w:eastAsia="標楷體"/>
          <w:i/>
          <w:kern w:val="0"/>
          <w:lang w:eastAsia="zh-CN"/>
        </w:rPr>
        <w:t>i</w:t>
      </w:r>
      <w:r w:rsidR="00FA080D" w:rsidRPr="00986914">
        <w:rPr>
          <w:rFonts w:eastAsia="標楷體" w:hAnsi="標楷體" w:hint="eastAsia"/>
          <w:kern w:val="0"/>
          <w:lang w:eastAsia="zh-CN"/>
        </w:rPr>
        <w:t>张订单中，产品</w:t>
      </w:r>
      <w:r w:rsidR="00FA080D" w:rsidRPr="00986914">
        <w:rPr>
          <w:rFonts w:eastAsia="標楷體"/>
          <w:i/>
          <w:kern w:val="0"/>
          <w:lang w:eastAsia="zh-CN"/>
        </w:rPr>
        <w:t>j</w:t>
      </w:r>
      <w:r w:rsidR="00FA080D" w:rsidRPr="00986914">
        <w:rPr>
          <w:rFonts w:eastAsia="標楷體" w:hAnsi="標楷體" w:hint="eastAsia"/>
          <w:kern w:val="0"/>
          <w:lang w:eastAsia="zh-CN"/>
        </w:rPr>
        <w:t>的需求量</w:t>
      </w:r>
    </w:p>
    <w:p w14:paraId="19A803D7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</w:rPr>
      </w:pPr>
      <w:r w:rsidRPr="00986914">
        <w:rPr>
          <w:rFonts w:eastAsia="標楷體"/>
          <w:kern w:val="0"/>
          <w:position w:val="-14"/>
        </w:rPr>
        <w:object w:dxaOrig="279" w:dyaOrig="380" w14:anchorId="1CE5DE0E">
          <v:shape id="_x0000_i1026" type="#_x0000_t75" style="width:14.35pt;height:19pt" o:ole="">
            <v:imagedata r:id="rId10" o:title=""/>
          </v:shape>
          <o:OLEObject Type="Embed" ProgID="Equation.3" ShapeID="_x0000_i1026" DrawAspect="Content" ObjectID="_1680167764" r:id="rId11"/>
        </w:object>
      </w:r>
      <w:r w:rsidR="00FA080D" w:rsidRPr="00986914">
        <w:rPr>
          <w:rFonts w:eastAsia="標楷體"/>
          <w:kern w:val="0"/>
          <w:lang w:eastAsia="zh-CN"/>
        </w:rPr>
        <w:t>:</w:t>
      </w:r>
      <w:r w:rsidR="00FA080D" w:rsidRPr="00986914">
        <w:rPr>
          <w:rFonts w:eastAsia="標楷體" w:hAnsi="標楷體" w:hint="eastAsia"/>
          <w:kern w:val="0"/>
          <w:lang w:eastAsia="zh-CN"/>
        </w:rPr>
        <w:t>产品</w:t>
      </w:r>
      <w:r w:rsidR="00FA080D" w:rsidRPr="00986914">
        <w:rPr>
          <w:rFonts w:eastAsia="標楷體"/>
          <w:i/>
          <w:kern w:val="0"/>
          <w:lang w:eastAsia="zh-CN"/>
        </w:rPr>
        <w:t>j</w:t>
      </w:r>
      <w:r w:rsidR="00FA080D" w:rsidRPr="00986914">
        <w:rPr>
          <w:rFonts w:eastAsia="標楷體" w:hAnsi="標楷體" w:hint="eastAsia"/>
          <w:kern w:val="0"/>
          <w:lang w:eastAsia="zh-CN"/>
        </w:rPr>
        <w:t>的售价</w:t>
      </w:r>
    </w:p>
    <w:p w14:paraId="5DA81DB4" w14:textId="77777777" w:rsidR="00364092" w:rsidRPr="00986914" w:rsidRDefault="00364092" w:rsidP="00986914">
      <w:pPr>
        <w:widowControl/>
        <w:adjustRightInd w:val="0"/>
        <w:snapToGrid w:val="0"/>
        <w:jc w:val="both"/>
        <w:rPr>
          <w:rFonts w:eastAsia="標楷體"/>
          <w:kern w:val="0"/>
          <w:lang w:eastAsia="zh-CN"/>
        </w:rPr>
      </w:pPr>
      <w:r w:rsidRPr="00986914">
        <w:rPr>
          <w:rFonts w:eastAsia="標楷體"/>
          <w:kern w:val="0"/>
          <w:position w:val="-14"/>
        </w:rPr>
        <w:object w:dxaOrig="800" w:dyaOrig="380" w14:anchorId="3984775C">
          <v:shape id="_x0000_i1027" type="#_x0000_t75" style="width:40pt;height:19pt" o:ole="">
            <v:imagedata r:id="rId12" o:title=""/>
          </v:shape>
          <o:OLEObject Type="Embed" ProgID="Equation.3" ShapeID="_x0000_i1027" DrawAspect="Content" ObjectID="_1680167765" r:id="rId13"/>
        </w:object>
      </w:r>
      <w:r w:rsidR="00FA080D" w:rsidRPr="00986914">
        <w:rPr>
          <w:rFonts w:eastAsia="標楷體"/>
          <w:kern w:val="0"/>
          <w:lang w:eastAsia="zh-CN"/>
        </w:rPr>
        <w:t>:</w:t>
      </w:r>
      <w:r w:rsidR="00FA080D" w:rsidRPr="00986914">
        <w:rPr>
          <w:rFonts w:eastAsia="標楷體" w:hAnsi="標楷體" w:hint="eastAsia"/>
          <w:kern w:val="0"/>
          <w:lang w:eastAsia="zh-CN"/>
        </w:rPr>
        <w:t>产品</w:t>
      </w:r>
      <w:r w:rsidR="00FA080D" w:rsidRPr="00986914">
        <w:rPr>
          <w:rFonts w:eastAsia="標楷體"/>
          <w:i/>
          <w:kern w:val="0"/>
          <w:lang w:eastAsia="zh-CN"/>
        </w:rPr>
        <w:t>j</w:t>
      </w:r>
      <w:r w:rsidR="00FA080D" w:rsidRPr="00986914">
        <w:rPr>
          <w:rFonts w:eastAsia="標楷體" w:hAnsi="標楷體" w:hint="eastAsia"/>
          <w:kern w:val="0"/>
          <w:lang w:eastAsia="zh-CN"/>
        </w:rPr>
        <w:t>在每段期间的持有成本。其中，</w:t>
      </w:r>
      <w:r w:rsidRPr="00986914">
        <w:rPr>
          <w:rFonts w:eastAsia="標楷體"/>
          <w:kern w:val="0"/>
          <w:position w:val="-14"/>
        </w:rPr>
        <w:object w:dxaOrig="360" w:dyaOrig="380" w14:anchorId="29E3C7B6">
          <v:shape id="_x0000_i1028" type="#_x0000_t75" style="width:18.65pt;height:19pt" o:ole="">
            <v:imagedata r:id="rId14" o:title=""/>
          </v:shape>
          <o:OLEObject Type="Embed" ProgID="Equation.3" ShapeID="_x0000_i1028" DrawAspect="Content" ObjectID="_1680167766" r:id="rId15"/>
        </w:object>
      </w:r>
      <w:r w:rsidR="00FA080D" w:rsidRPr="00986914">
        <w:rPr>
          <w:rFonts w:eastAsia="標楷體" w:hAnsi="標楷體" w:hint="eastAsia"/>
          <w:kern w:val="0"/>
          <w:lang w:eastAsia="zh-CN"/>
        </w:rPr>
        <w:t>为持有成本比率。</w:t>
      </w:r>
    </w:p>
    <w:p w14:paraId="158870FD" w14:textId="77777777" w:rsidR="008905DE" w:rsidRPr="00986914" w:rsidRDefault="008905D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  <w:kern w:val="0"/>
          <w:szCs w:val="20"/>
          <w:lang w:eastAsia="zh-CN"/>
        </w:rPr>
      </w:pPr>
    </w:p>
    <w:p w14:paraId="2E635149" w14:textId="77777777" w:rsidR="00364092" w:rsidRPr="00986914" w:rsidRDefault="00FA080D" w:rsidP="00986914">
      <w:pPr>
        <w:adjustRightInd w:val="0"/>
        <w:snapToGrid w:val="0"/>
        <w:jc w:val="center"/>
        <w:rPr>
          <w:rFonts w:eastAsia="標楷體"/>
        </w:rPr>
      </w:pPr>
      <w:r w:rsidRPr="00986914">
        <w:rPr>
          <w:rFonts w:eastAsia="標楷體" w:hAnsi="標楷體" w:hint="eastAsia"/>
          <w:lang w:eastAsia="zh-CN"/>
        </w:rPr>
        <w:t>表</w:t>
      </w:r>
      <w:r>
        <w:rPr>
          <w:rFonts w:eastAsia="標楷體" w:hAnsi="標楷體"/>
          <w:lang w:eastAsia="zh-CN"/>
        </w:rPr>
        <w:t>1.</w:t>
      </w:r>
      <w:r w:rsidRPr="00986914">
        <w:rPr>
          <w:rFonts w:eastAsia="標楷體"/>
          <w:lang w:eastAsia="zh-CN"/>
        </w:rPr>
        <w:t xml:space="preserve"> </w:t>
      </w:r>
      <w:r w:rsidRPr="00986914">
        <w:rPr>
          <w:rFonts w:eastAsia="標楷體" w:hAnsi="標楷體" w:hint="eastAsia"/>
          <w:lang w:eastAsia="zh-CN"/>
        </w:rPr>
        <w:t>生产数量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1556"/>
        <w:gridCol w:w="1556"/>
        <w:gridCol w:w="1556"/>
        <w:gridCol w:w="1556"/>
        <w:gridCol w:w="1554"/>
      </w:tblGrid>
      <w:tr w:rsidR="00364092" w:rsidRPr="00986914" w14:paraId="6AAC6113" w14:textId="77777777" w:rsidTr="00E17BF6">
        <w:trPr>
          <w:trHeight w:val="330"/>
        </w:trPr>
        <w:tc>
          <w:tcPr>
            <w:tcW w:w="546" w:type="pc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219EA" w14:textId="77777777" w:rsidR="00364092" w:rsidRPr="00986914" w:rsidRDefault="00364092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454" w:type="pct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418E8EC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i/>
                <w:iCs/>
                <w:kern w:val="0"/>
              </w:rPr>
            </w:pPr>
            <w:r w:rsidRPr="00986914">
              <w:rPr>
                <w:rFonts w:eastAsia="標楷體"/>
                <w:b/>
                <w:bCs/>
                <w:i/>
                <w:iCs/>
                <w:kern w:val="0"/>
                <w:lang w:eastAsia="zh-CN"/>
              </w:rPr>
              <w:t>j</w:t>
            </w:r>
          </w:p>
        </w:tc>
      </w:tr>
      <w:tr w:rsidR="00364092" w:rsidRPr="00986914" w14:paraId="3DD79848" w14:textId="77777777" w:rsidTr="00E17BF6">
        <w:trPr>
          <w:trHeight w:val="330"/>
        </w:trPr>
        <w:tc>
          <w:tcPr>
            <w:tcW w:w="546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21510B5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i/>
                <w:iCs/>
                <w:kern w:val="0"/>
              </w:rPr>
            </w:pPr>
            <w:r w:rsidRPr="00986914">
              <w:rPr>
                <w:rFonts w:eastAsia="標楷體"/>
                <w:b/>
                <w:bCs/>
                <w:i/>
                <w:iCs/>
                <w:kern w:val="0"/>
                <w:lang w:eastAsia="zh-CN"/>
              </w:rPr>
              <w:t>i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D2EE4CB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1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B0C0F18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2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8ABF346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3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7A0791B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4</w:t>
            </w: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252CEE3" w14:textId="77777777" w:rsidR="00364092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5</w:t>
            </w:r>
          </w:p>
        </w:tc>
      </w:tr>
      <w:tr w:rsidR="005447FA" w:rsidRPr="00986914" w14:paraId="4C0484B6" w14:textId="77777777" w:rsidTr="00E17BF6">
        <w:trPr>
          <w:trHeight w:val="330"/>
        </w:trPr>
        <w:tc>
          <w:tcPr>
            <w:tcW w:w="54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D662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1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1804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800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FFD97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3CCE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1,200</w:t>
            </w:r>
          </w:p>
        </w:tc>
        <w:tc>
          <w:tcPr>
            <w:tcW w:w="8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9876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240</w:t>
            </w:r>
          </w:p>
        </w:tc>
        <w:tc>
          <w:tcPr>
            <w:tcW w:w="889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9073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900</w:t>
            </w:r>
          </w:p>
        </w:tc>
      </w:tr>
      <w:tr w:rsidR="005447FA" w:rsidRPr="00986914" w14:paraId="368768F8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1A8C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2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644B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1,200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7F9E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1,073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3994F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1,600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1510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1,000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DC47A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1,300</w:t>
            </w:r>
          </w:p>
        </w:tc>
      </w:tr>
      <w:tr w:rsidR="005447FA" w:rsidRPr="00986914" w14:paraId="547F7178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2B41C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3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4A9F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1,600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F954B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1,800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4ECA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2,100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E6E7B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2,250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2905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1,800</w:t>
            </w:r>
          </w:p>
        </w:tc>
      </w:tr>
      <w:tr w:rsidR="005447FA" w:rsidRPr="00986914" w14:paraId="41B486B9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DB77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4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03A06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D133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1,200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3CE9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1,500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9701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1,300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2CB78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1,000</w:t>
            </w:r>
          </w:p>
        </w:tc>
      </w:tr>
      <w:tr w:rsidR="005447FA" w:rsidRPr="00986914" w14:paraId="4DD9FE95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12FAA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5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5909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1,300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A84A9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031CB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1,050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0FE4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1,080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55AD1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1,600</w:t>
            </w:r>
          </w:p>
        </w:tc>
      </w:tr>
      <w:tr w:rsidR="005447FA" w:rsidRPr="00986914" w14:paraId="2B10B6CE" w14:textId="77777777" w:rsidTr="00E17BF6">
        <w:trPr>
          <w:trHeight w:val="33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813B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28BE0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1,800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E93E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1,338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B356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1,900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AC7A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850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DB40A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375</w:t>
            </w:r>
          </w:p>
        </w:tc>
      </w:tr>
      <w:tr w:rsidR="005447FA" w:rsidRPr="00986914" w14:paraId="6E64A4D3" w14:textId="77777777" w:rsidTr="00E17BF6">
        <w:trPr>
          <w:trHeight w:val="345"/>
        </w:trPr>
        <w:tc>
          <w:tcPr>
            <w:tcW w:w="5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41C824" w14:textId="77777777" w:rsidR="005447FA" w:rsidRPr="00986914" w:rsidRDefault="00FA080D" w:rsidP="00986914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986914">
              <w:rPr>
                <w:rFonts w:eastAsia="標楷體"/>
                <w:kern w:val="0"/>
                <w:lang w:eastAsia="zh-CN"/>
              </w:rPr>
              <w:t>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5A7D59B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1,750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BA94EA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1,400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EFCDA4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1,100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B0F780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1,680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13CB23" w14:textId="77777777" w:rsidR="005447FA" w:rsidRPr="00986914" w:rsidRDefault="00FA080D" w:rsidP="0098691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86914">
              <w:rPr>
                <w:rFonts w:eastAsia="標楷體"/>
                <w:lang w:eastAsia="zh-CN"/>
              </w:rPr>
              <w:t>1,900</w:t>
            </w:r>
          </w:p>
        </w:tc>
      </w:tr>
    </w:tbl>
    <w:p w14:paraId="26142BD0" w14:textId="77777777" w:rsidR="00754ECF" w:rsidRPr="00986914" w:rsidRDefault="00583DD2" w:rsidP="00E17BF6">
      <w:pPr>
        <w:widowControl/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kern w:val="0"/>
          <w:szCs w:val="20"/>
        </w:rPr>
      </w:pPr>
      <w:r w:rsidRPr="00583DD2">
        <w:rPr>
          <w:rFonts w:eastAsia="標楷體" w:hAnsi="標楷體" w:hint="eastAsia"/>
          <w:lang w:eastAsia="zh-CN"/>
        </w:rPr>
        <w:t>资料来源</w:t>
      </w:r>
      <w:r w:rsidRPr="00583DD2">
        <w:rPr>
          <w:bCs/>
        </w:rPr>
        <w:t>：</w:t>
      </w:r>
      <w:r w:rsidR="00FA080D">
        <w:rPr>
          <w:rFonts w:eastAsia="標楷體" w:hAnsi="標楷體" w:hint="eastAsia"/>
          <w:lang w:eastAsia="zh-CN"/>
        </w:rPr>
        <w:t>本文自行整理</w:t>
      </w:r>
    </w:p>
    <w:p w14:paraId="6EE19976" w14:textId="77777777" w:rsidR="00E978E7" w:rsidRDefault="0016575B" w:rsidP="00E978E7">
      <w:pPr>
        <w:adjustRightInd w:val="0"/>
        <w:snapToGrid w:val="0"/>
        <w:rPr>
          <w:rFonts w:eastAsia="標楷體" w:hAnsi="標楷體"/>
        </w:rPr>
      </w:pPr>
      <w:r>
        <w:rPr>
          <w:rFonts w:ascii="ˎ̥" w:hAnsi="ˎ̥" w:hint="eastAsia"/>
          <w:noProof/>
          <w:color w:val="CC0000"/>
          <w:sz w:val="18"/>
          <w:szCs w:val="18"/>
          <w:lang w:eastAsia="zh-CN"/>
        </w:rPr>
        <w:lastRenderedPageBreak/>
        <w:drawing>
          <wp:inline distT="0" distB="0" distL="0" distR="0" wp14:anchorId="227148F1" wp14:editId="6F080563">
            <wp:extent cx="5542915" cy="2527032"/>
            <wp:effectExtent l="19050" t="19050" r="19685" b="26035"/>
            <wp:docPr id="1" name="图片 1" descr="商务企业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商务企业网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4" b="26233"/>
                    <a:stretch/>
                  </pic:blipFill>
                  <pic:spPr bwMode="auto">
                    <a:xfrm>
                      <a:off x="0" y="0"/>
                      <a:ext cx="5543550" cy="25273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3DD2" w:rsidRPr="00583DD2">
        <w:rPr>
          <w:rFonts w:eastAsia="標楷體" w:hAnsi="標楷體" w:hint="eastAsia"/>
          <w:lang w:eastAsia="zh-CN"/>
        </w:rPr>
        <w:t>资料来源</w:t>
      </w:r>
      <w:r w:rsidR="00583DD2" w:rsidRPr="00583DD2">
        <w:rPr>
          <w:bCs/>
        </w:rPr>
        <w:t>：</w:t>
      </w:r>
      <w:r w:rsidR="00583DD2">
        <w:rPr>
          <w:rFonts w:eastAsia="標楷體" w:hAnsi="標楷體" w:hint="eastAsia"/>
          <w:lang w:eastAsia="zh-CN"/>
        </w:rPr>
        <w:t>本文自行整理</w:t>
      </w:r>
    </w:p>
    <w:p w14:paraId="5FC927F8" w14:textId="77777777" w:rsidR="00AB2951" w:rsidRPr="00986914" w:rsidRDefault="00FA080D" w:rsidP="00986914">
      <w:pPr>
        <w:adjustRightInd w:val="0"/>
        <w:snapToGrid w:val="0"/>
        <w:jc w:val="center"/>
        <w:rPr>
          <w:rFonts w:eastAsia="標楷體"/>
        </w:rPr>
      </w:pPr>
      <w:r w:rsidRPr="00986914">
        <w:rPr>
          <w:rFonts w:eastAsia="標楷體" w:hAnsi="標楷體" w:hint="eastAsia"/>
          <w:lang w:eastAsia="zh-CN"/>
        </w:rPr>
        <w:t>图</w:t>
      </w:r>
      <w:r>
        <w:rPr>
          <w:rFonts w:eastAsia="標楷體"/>
          <w:lang w:eastAsia="zh-CN"/>
        </w:rPr>
        <w:t xml:space="preserve">1. </w:t>
      </w:r>
      <w:r>
        <w:rPr>
          <w:rFonts w:eastAsia="標楷體" w:hAnsi="標楷體" w:hint="eastAsia"/>
          <w:lang w:eastAsia="zh-CN"/>
        </w:rPr>
        <w:t>未来</w:t>
      </w:r>
      <w:r w:rsidRPr="00986914">
        <w:rPr>
          <w:rFonts w:eastAsia="標楷體" w:hAnsi="標楷體" w:hint="eastAsia"/>
          <w:lang w:eastAsia="zh-CN"/>
        </w:rPr>
        <w:t>利润的改变</w:t>
      </w:r>
    </w:p>
    <w:p w14:paraId="430F48B5" w14:textId="77777777" w:rsidR="008905DE" w:rsidRPr="00986914" w:rsidRDefault="008905DE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/>
        </w:rPr>
      </w:pPr>
    </w:p>
    <w:p w14:paraId="3C652C02" w14:textId="77777777" w:rsidR="00754ECF" w:rsidRDefault="00FA080D" w:rsidP="00684ED8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kern w:val="0"/>
          <w:szCs w:val="20"/>
        </w:rPr>
      </w:pPr>
      <w:r w:rsidRPr="00986914">
        <w:rPr>
          <w:rFonts w:eastAsia="標楷體" w:hAnsi="標楷體" w:hint="eastAsia"/>
          <w:kern w:val="0"/>
          <w:szCs w:val="20"/>
          <w:lang w:eastAsia="zh-CN"/>
        </w:rPr>
        <w:t>接着，改变第</w:t>
      </w:r>
      <w:r w:rsidRPr="00986914">
        <w:rPr>
          <w:rFonts w:eastAsia="標楷體"/>
          <w:kern w:val="0"/>
          <w:szCs w:val="20"/>
          <w:lang w:eastAsia="zh-CN"/>
        </w:rPr>
        <w:t>1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种产品生产数量</w:t>
      </w:r>
      <w:r w:rsidRPr="00986914">
        <w:rPr>
          <w:rFonts w:eastAsia="標楷體"/>
          <w:kern w:val="0"/>
          <w:szCs w:val="20"/>
          <w:lang w:eastAsia="zh-CN"/>
        </w:rPr>
        <w:t>850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单位以上之单位控污成本进行敏感性分析，其模拟范围从</w:t>
      </w:r>
      <w:r w:rsidRPr="00986914">
        <w:rPr>
          <w:rFonts w:eastAsia="標楷體"/>
          <w:kern w:val="0"/>
          <w:szCs w:val="20"/>
          <w:lang w:eastAsia="zh-CN"/>
        </w:rPr>
        <w:t>50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至</w:t>
      </w:r>
      <w:r w:rsidRPr="00986914">
        <w:rPr>
          <w:rFonts w:eastAsia="標楷體"/>
          <w:kern w:val="0"/>
          <w:szCs w:val="20"/>
          <w:lang w:eastAsia="zh-CN"/>
        </w:rPr>
        <w:t>700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元，图</w:t>
      </w:r>
      <w:r w:rsidRPr="00986914">
        <w:rPr>
          <w:rFonts w:eastAsia="標楷體"/>
          <w:kern w:val="0"/>
          <w:szCs w:val="20"/>
          <w:lang w:eastAsia="zh-CN"/>
        </w:rPr>
        <w:t>4.2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显示分析结果发现模式之利润并不会随着第</w:t>
      </w:r>
      <w:r w:rsidRPr="00986914">
        <w:rPr>
          <w:rFonts w:eastAsia="標楷體"/>
          <w:kern w:val="0"/>
          <w:szCs w:val="20"/>
          <w:lang w:eastAsia="zh-CN"/>
        </w:rPr>
        <w:t>1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种产品生产数量</w:t>
      </w:r>
      <w:r w:rsidRPr="00986914">
        <w:rPr>
          <w:rFonts w:eastAsia="標楷體"/>
          <w:kern w:val="0"/>
          <w:szCs w:val="20"/>
          <w:lang w:eastAsia="zh-CN"/>
        </w:rPr>
        <w:t>850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单位以上之单位控污成本增加而持续减少，一开始模式之利润会随着第</w:t>
      </w:r>
      <w:r w:rsidRPr="00986914">
        <w:rPr>
          <w:rFonts w:eastAsia="標楷體"/>
          <w:kern w:val="0"/>
          <w:szCs w:val="20"/>
          <w:lang w:eastAsia="zh-CN"/>
        </w:rPr>
        <w:t>1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种产品生产数量</w:t>
      </w:r>
      <w:r w:rsidRPr="00986914">
        <w:rPr>
          <w:rFonts w:eastAsia="標楷體"/>
          <w:kern w:val="0"/>
          <w:szCs w:val="20"/>
          <w:lang w:eastAsia="zh-CN"/>
        </w:rPr>
        <w:t>850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单位以上之单位控污成本增加而减少，当第</w:t>
      </w:r>
      <w:r w:rsidRPr="00986914">
        <w:rPr>
          <w:rFonts w:eastAsia="標楷體"/>
          <w:kern w:val="0"/>
          <w:szCs w:val="20"/>
          <w:lang w:eastAsia="zh-CN"/>
        </w:rPr>
        <w:t>1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种产品生产数量</w:t>
      </w:r>
      <w:r w:rsidRPr="00986914">
        <w:rPr>
          <w:rFonts w:eastAsia="標楷體"/>
          <w:kern w:val="0"/>
          <w:szCs w:val="20"/>
          <w:lang w:eastAsia="zh-CN"/>
        </w:rPr>
        <w:t>850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单位以上之单位控污成本增加到</w:t>
      </w:r>
      <w:r w:rsidRPr="00986914">
        <w:rPr>
          <w:rFonts w:eastAsia="標楷體"/>
          <w:kern w:val="0"/>
          <w:szCs w:val="20"/>
          <w:lang w:eastAsia="zh-CN"/>
        </w:rPr>
        <w:t>400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元时达到利润最低，此时利润为</w:t>
      </w:r>
      <w:r w:rsidRPr="00986914">
        <w:rPr>
          <w:rFonts w:eastAsia="標楷體"/>
          <w:kern w:val="0"/>
          <w:szCs w:val="20"/>
          <w:lang w:eastAsia="zh-CN"/>
        </w:rPr>
        <w:t>19,354,710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元，利润将不再变动。</w:t>
      </w:r>
    </w:p>
    <w:p w14:paraId="105623EB" w14:textId="77777777" w:rsidR="00515F64" w:rsidRPr="000B7F40" w:rsidRDefault="00515F64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szCs w:val="28"/>
        </w:rPr>
      </w:pPr>
    </w:p>
    <w:p w14:paraId="53ACA405" w14:textId="77777777" w:rsidR="000B7F40" w:rsidRPr="00687540" w:rsidRDefault="00FA080D" w:rsidP="000B7F40">
      <w:pPr>
        <w:widowControl/>
        <w:numPr>
          <w:ilvl w:val="0"/>
          <w:numId w:val="7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eastAsia="標楷體"/>
          <w:b/>
          <w:kern w:val="0"/>
          <w:sz w:val="28"/>
          <w:szCs w:val="28"/>
        </w:rPr>
      </w:pPr>
      <w:r w:rsidRPr="009A7702">
        <w:rPr>
          <w:rFonts w:eastAsia="標楷體" w:hAnsi="標楷體" w:hint="eastAsia"/>
          <w:b/>
          <w:kern w:val="0"/>
          <w:sz w:val="28"/>
          <w:szCs w:val="28"/>
          <w:lang w:eastAsia="zh-CN"/>
        </w:rPr>
        <w:t>参考文献</w:t>
      </w:r>
      <w:r>
        <w:rPr>
          <w:rFonts w:eastAsia="標楷體" w:hAnsi="標楷體" w:hint="eastAsia"/>
          <w:b/>
          <w:kern w:val="0"/>
          <w:sz w:val="28"/>
          <w:szCs w:val="28"/>
          <w:lang w:eastAsia="zh-CN"/>
        </w:rPr>
        <w:t>的写法</w:t>
      </w:r>
    </w:p>
    <w:p w14:paraId="211D2FC1" w14:textId="69CCE831" w:rsidR="000B7F40" w:rsidRPr="00D75FCE" w:rsidRDefault="00FA080D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kern w:val="0"/>
          <w:szCs w:val="20"/>
          <w:lang w:eastAsia="zh-CN"/>
        </w:rPr>
      </w:pPr>
      <w:r w:rsidRPr="009A7702">
        <w:rPr>
          <w:rFonts w:eastAsia="標楷體" w:hAnsi="標楷體" w:hint="eastAsia"/>
          <w:kern w:val="0"/>
          <w:szCs w:val="20"/>
          <w:lang w:eastAsia="zh-CN"/>
        </w:rPr>
        <w:t>参考文献</w:t>
      </w:r>
      <w:r>
        <w:rPr>
          <w:rFonts w:eastAsia="標楷體" w:hAnsi="標楷體" w:hint="eastAsia"/>
          <w:kern w:val="0"/>
          <w:szCs w:val="20"/>
          <w:lang w:eastAsia="zh-CN"/>
        </w:rPr>
        <w:t>的写法请参照最新版本的</w:t>
      </w:r>
      <w:r>
        <w:rPr>
          <w:rFonts w:eastAsia="標楷體" w:hAnsi="標楷體"/>
          <w:kern w:val="0"/>
          <w:szCs w:val="20"/>
          <w:lang w:eastAsia="zh-CN"/>
        </w:rPr>
        <w:t>APA</w:t>
      </w:r>
      <w:r>
        <w:rPr>
          <w:rFonts w:eastAsia="標楷體" w:hAnsi="標楷體" w:hint="eastAsia"/>
          <w:kern w:val="0"/>
          <w:szCs w:val="20"/>
          <w:lang w:eastAsia="zh-CN"/>
        </w:rPr>
        <w:t>格式撰写</w:t>
      </w:r>
      <w:r w:rsidRPr="00986914">
        <w:rPr>
          <w:rFonts w:eastAsia="標楷體" w:hAnsi="標楷體" w:hint="eastAsia"/>
          <w:kern w:val="0"/>
          <w:szCs w:val="20"/>
          <w:lang w:eastAsia="zh-CN"/>
        </w:rPr>
        <w:t>。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中文参考文献</w:t>
      </w:r>
      <w:r w:rsidR="00D75FCE">
        <w:rPr>
          <w:rFonts w:eastAsia="標楷體" w:hAnsi="標楷體" w:hint="eastAsia"/>
          <w:kern w:val="0"/>
          <w:szCs w:val="20"/>
          <w:lang w:eastAsia="zh-CN"/>
        </w:rPr>
        <w:t>请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依照内文引用顺序排列</w:t>
      </w:r>
      <w:r w:rsidR="00D75FCE" w:rsidRPr="00986914">
        <w:rPr>
          <w:rFonts w:eastAsia="標楷體" w:hAnsi="標楷體" w:hint="eastAsia"/>
          <w:kern w:val="0"/>
          <w:szCs w:val="20"/>
          <w:lang w:eastAsia="zh-CN"/>
        </w:rPr>
        <w:t>，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英文参考文献</w:t>
      </w:r>
      <w:r w:rsidR="00D75FCE">
        <w:rPr>
          <w:rFonts w:eastAsia="標楷體" w:hAnsi="標楷體" w:hint="eastAsia"/>
          <w:kern w:val="0"/>
          <w:szCs w:val="20"/>
          <w:lang w:eastAsia="zh-CN"/>
        </w:rPr>
        <w:t>请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依照作者姓氏顺序排列</w:t>
      </w:r>
      <w:r w:rsidR="00D75FCE" w:rsidRPr="00986914">
        <w:rPr>
          <w:rFonts w:eastAsia="標楷體" w:hAnsi="標楷體" w:hint="eastAsia"/>
          <w:kern w:val="0"/>
          <w:szCs w:val="20"/>
          <w:lang w:eastAsia="zh-CN"/>
        </w:rPr>
        <w:t>，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所有中文文献在前</w:t>
      </w:r>
      <w:r w:rsidR="00D75FCE" w:rsidRPr="00986914">
        <w:rPr>
          <w:rFonts w:eastAsia="標楷體" w:hAnsi="標楷體" w:hint="eastAsia"/>
          <w:kern w:val="0"/>
          <w:szCs w:val="20"/>
          <w:lang w:eastAsia="zh-CN"/>
        </w:rPr>
        <w:t>，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所有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英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文文献在</w:t>
      </w:r>
      <w:r w:rsidR="00D75FCE" w:rsidRPr="00D75FCE">
        <w:rPr>
          <w:rFonts w:eastAsia="標楷體" w:hAnsi="標楷體" w:hint="eastAsia"/>
          <w:kern w:val="0"/>
          <w:szCs w:val="20"/>
          <w:lang w:eastAsia="zh-CN"/>
        </w:rPr>
        <w:t>后</w:t>
      </w:r>
      <w:r w:rsidR="00D75FCE" w:rsidRPr="00986914">
        <w:rPr>
          <w:rFonts w:eastAsia="標楷體" w:hAnsi="標楷體" w:hint="eastAsia"/>
          <w:kern w:val="0"/>
          <w:szCs w:val="20"/>
          <w:lang w:eastAsia="zh-CN"/>
        </w:rPr>
        <w:t>。</w:t>
      </w:r>
    </w:p>
    <w:p w14:paraId="77BDD414" w14:textId="77777777" w:rsidR="000B7F40" w:rsidRPr="000B7F40" w:rsidRDefault="000B7F40" w:rsidP="000B7F40">
      <w:pPr>
        <w:widowControl/>
        <w:overflowPunct w:val="0"/>
        <w:autoSpaceDE w:val="0"/>
        <w:autoSpaceDN w:val="0"/>
        <w:adjustRightInd w:val="0"/>
        <w:snapToGrid w:val="0"/>
        <w:ind w:firstLineChars="200" w:firstLine="480"/>
        <w:jc w:val="both"/>
        <w:textAlignment w:val="baseline"/>
        <w:rPr>
          <w:rFonts w:eastAsia="標楷體" w:hAnsi="標楷體"/>
          <w:szCs w:val="28"/>
          <w:lang w:eastAsia="zh-CN"/>
        </w:rPr>
      </w:pPr>
    </w:p>
    <w:p w14:paraId="487E02B8" w14:textId="77777777" w:rsidR="006E34E8" w:rsidRPr="00986914" w:rsidRDefault="00FA080D" w:rsidP="00684ED8">
      <w:pPr>
        <w:adjustRightInd w:val="0"/>
        <w:snapToGrid w:val="0"/>
        <w:ind w:left="2"/>
        <w:jc w:val="center"/>
        <w:rPr>
          <w:rFonts w:eastAsia="標楷體"/>
          <w:b/>
          <w:sz w:val="28"/>
          <w:szCs w:val="28"/>
        </w:rPr>
      </w:pPr>
      <w:r w:rsidRPr="00986914">
        <w:rPr>
          <w:rFonts w:eastAsia="標楷體" w:hAnsi="標楷體" w:hint="eastAsia"/>
          <w:b/>
          <w:sz w:val="28"/>
          <w:szCs w:val="28"/>
          <w:lang w:eastAsia="zh-CN"/>
        </w:rPr>
        <w:t>参考文献</w:t>
      </w:r>
    </w:p>
    <w:p w14:paraId="253B25A3" w14:textId="77777777" w:rsidR="003D44C6" w:rsidRPr="007B6C89" w:rsidRDefault="003D44C6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>
        <w:rPr>
          <w:rFonts w:eastAsia="標楷體"/>
          <w:lang w:eastAsia="zh-CN"/>
        </w:rPr>
        <w:t>赵爱玲</w:t>
      </w:r>
      <w:r w:rsidRPr="00B31ECA">
        <w:rPr>
          <w:rFonts w:eastAsia="標楷體" w:hint="eastAsia"/>
          <w:lang w:eastAsia="zh-CN"/>
        </w:rPr>
        <w:t>（</w:t>
      </w:r>
      <w:r w:rsidRPr="00640185">
        <w:rPr>
          <w:rFonts w:eastAsiaTheme="minorEastAsia"/>
          <w:lang w:eastAsia="zh-CN"/>
        </w:rPr>
        <w:t>201</w:t>
      </w:r>
      <w:r>
        <w:rPr>
          <w:rFonts w:eastAsiaTheme="minorEastAsia" w:hint="eastAsia"/>
          <w:lang w:eastAsia="zh-CN"/>
        </w:rPr>
        <w:t>0</w:t>
      </w:r>
      <w:r w:rsidRPr="00B31ECA">
        <w:rPr>
          <w:rFonts w:eastAsia="標楷體" w:hint="eastAsia"/>
          <w:lang w:eastAsia="zh-CN"/>
        </w:rPr>
        <w:t>）</w:t>
      </w:r>
      <w:r w:rsidRPr="00B74430">
        <w:rPr>
          <w:rFonts w:eastAsia="標楷體"/>
          <w:lang w:eastAsia="zh-CN"/>
        </w:rPr>
        <w:t>。线上线下融合是会展业发展的必然趋势。中国对外贸易，</w:t>
      </w:r>
      <w:r w:rsidRPr="00B74430">
        <w:rPr>
          <w:rFonts w:eastAsia="標楷體"/>
          <w:lang w:eastAsia="zh-CN"/>
        </w:rPr>
        <w:t>10</w:t>
      </w:r>
      <w:r w:rsidRPr="00B74430">
        <w:rPr>
          <w:rFonts w:eastAsia="標楷體"/>
          <w:lang w:eastAsia="zh-CN"/>
        </w:rPr>
        <w:t>，</w:t>
      </w:r>
      <w:r w:rsidRPr="007B6C89">
        <w:rPr>
          <w:rFonts w:eastAsiaTheme="minorEastAsia"/>
          <w:lang w:eastAsia="zh-CN"/>
        </w:rPr>
        <w:t>74-76</w:t>
      </w:r>
      <w:r w:rsidRPr="007B6C89">
        <w:rPr>
          <w:rFonts w:eastAsia="標楷體"/>
          <w:lang w:eastAsia="zh-CN"/>
        </w:rPr>
        <w:t>。</w:t>
      </w:r>
    </w:p>
    <w:p w14:paraId="691F9B0E" w14:textId="695A0A13" w:rsidR="003D44C6" w:rsidRPr="00B74430" w:rsidRDefault="003D44C6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 w:rsidRPr="00B74430">
        <w:rPr>
          <w:rFonts w:eastAsia="標楷體"/>
          <w:lang w:eastAsia="zh-CN"/>
        </w:rPr>
        <w:t>焦微玲、裴雷</w:t>
      </w:r>
      <w:r w:rsidRPr="00B31ECA">
        <w:rPr>
          <w:rFonts w:eastAsia="標楷體" w:hint="eastAsia"/>
          <w:lang w:eastAsia="zh-CN"/>
        </w:rPr>
        <w:t>（</w:t>
      </w:r>
      <w:r w:rsidRPr="00B74430">
        <w:rPr>
          <w:rFonts w:eastAsia="標楷體"/>
          <w:lang w:eastAsia="zh-CN"/>
        </w:rPr>
        <w:t>201</w:t>
      </w:r>
      <w:r>
        <w:rPr>
          <w:rFonts w:eastAsia="標楷體" w:hint="eastAsia"/>
        </w:rPr>
        <w:t>3</w:t>
      </w:r>
      <w:r w:rsidRPr="00B31ECA">
        <w:rPr>
          <w:rFonts w:eastAsia="標楷體" w:hint="eastAsia"/>
          <w:lang w:eastAsia="zh-CN"/>
        </w:rPr>
        <w:t>）</w:t>
      </w:r>
      <w:r w:rsidRPr="00B74430">
        <w:rPr>
          <w:rFonts w:eastAsia="標楷體"/>
          <w:lang w:eastAsia="zh-CN"/>
        </w:rPr>
        <w:t>。信息集散、成本约束与虚拟会展经济发展</w:t>
      </w:r>
      <w:r w:rsidR="006729B0">
        <w:rPr>
          <w:rFonts w:eastAsia="標楷體"/>
          <w:lang w:eastAsia="zh-CN"/>
        </w:rPr>
        <w:sym w:font="Symbol" w:char="F02D"/>
      </w:r>
      <w:r w:rsidRPr="00B74430">
        <w:rPr>
          <w:rFonts w:eastAsia="標楷體"/>
          <w:lang w:eastAsia="zh-CN"/>
        </w:rPr>
        <w:t>欧美会展业实践及其启示。武汉理工大学学报</w:t>
      </w:r>
      <w:r w:rsidRPr="00B31ECA">
        <w:rPr>
          <w:rFonts w:eastAsia="標楷體" w:hint="eastAsia"/>
          <w:lang w:eastAsia="zh-CN"/>
        </w:rPr>
        <w:t>（</w:t>
      </w:r>
      <w:r w:rsidRPr="00B74430">
        <w:rPr>
          <w:rFonts w:eastAsia="標楷體"/>
          <w:lang w:eastAsia="zh-CN"/>
        </w:rPr>
        <w:t>社会科学版</w:t>
      </w:r>
      <w:r w:rsidRPr="00B31ECA">
        <w:rPr>
          <w:rFonts w:eastAsia="標楷體" w:hint="eastAsia"/>
          <w:lang w:eastAsia="zh-CN"/>
        </w:rPr>
        <w:t>）</w:t>
      </w:r>
      <w:r w:rsidRPr="00B74430">
        <w:rPr>
          <w:rFonts w:eastAsia="標楷體"/>
          <w:lang w:eastAsia="zh-CN"/>
        </w:rPr>
        <w:t>，</w:t>
      </w:r>
      <w:r w:rsidRPr="00B74430">
        <w:rPr>
          <w:rFonts w:eastAsia="標楷體"/>
          <w:lang w:eastAsia="zh-CN"/>
        </w:rPr>
        <w:t>26(6)</w:t>
      </w:r>
      <w:r w:rsidRPr="00B74430">
        <w:rPr>
          <w:rFonts w:eastAsia="標楷體"/>
          <w:lang w:eastAsia="zh-CN"/>
        </w:rPr>
        <w:t>，</w:t>
      </w:r>
      <w:r w:rsidRPr="00B74430">
        <w:rPr>
          <w:rFonts w:eastAsia="標楷體"/>
          <w:lang w:eastAsia="zh-CN"/>
        </w:rPr>
        <w:t>904-909</w:t>
      </w:r>
      <w:r w:rsidRPr="00B74430">
        <w:rPr>
          <w:rFonts w:eastAsia="標楷體"/>
          <w:lang w:eastAsia="zh-CN"/>
        </w:rPr>
        <w:t>。</w:t>
      </w:r>
    </w:p>
    <w:p w14:paraId="7C8C54CE" w14:textId="13F40CFB" w:rsidR="003D44C6" w:rsidRPr="00B74430" w:rsidRDefault="003D44C6" w:rsidP="003D44C6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  <w:lang w:eastAsia="zh-CN"/>
        </w:rPr>
      </w:pPr>
      <w:r w:rsidRPr="00B74430">
        <w:rPr>
          <w:rFonts w:eastAsia="標楷體"/>
          <w:lang w:eastAsia="zh-CN"/>
        </w:rPr>
        <w:t>张越</w:t>
      </w:r>
      <w:r w:rsidRPr="00B31ECA">
        <w:rPr>
          <w:rFonts w:eastAsia="標楷體" w:hint="eastAsia"/>
          <w:lang w:eastAsia="zh-CN"/>
        </w:rPr>
        <w:t>（</w:t>
      </w:r>
      <w:r w:rsidRPr="00B74430">
        <w:rPr>
          <w:rFonts w:eastAsia="標楷體"/>
          <w:lang w:eastAsia="zh-CN"/>
        </w:rPr>
        <w:t>2017</w:t>
      </w:r>
      <w:r w:rsidRPr="00B31ECA">
        <w:rPr>
          <w:rFonts w:eastAsia="標楷體" w:hint="eastAsia"/>
          <w:lang w:eastAsia="zh-CN"/>
        </w:rPr>
        <w:t>）</w:t>
      </w:r>
      <w:r w:rsidRPr="00B74430">
        <w:rPr>
          <w:rFonts w:eastAsia="標楷體"/>
          <w:lang w:eastAsia="zh-CN"/>
        </w:rPr>
        <w:t>。基于产业生命周期理论的京津冀展览业发展策略研究</w:t>
      </w:r>
      <w:r w:rsidRPr="00B31ECA">
        <w:rPr>
          <w:rFonts w:eastAsia="標楷體" w:hint="eastAsia"/>
          <w:lang w:eastAsia="zh-CN"/>
        </w:rPr>
        <w:t>（</w:t>
      </w:r>
      <w:r w:rsidRPr="00A111F7">
        <w:rPr>
          <w:rFonts w:eastAsia="標楷體" w:hint="eastAsia"/>
          <w:lang w:eastAsia="zh-CN"/>
        </w:rPr>
        <w:t>未出版之硕士论文</w:t>
      </w:r>
      <w:r w:rsidRPr="00B31ECA">
        <w:rPr>
          <w:rFonts w:eastAsia="標楷體" w:hint="eastAsia"/>
          <w:lang w:eastAsia="zh-CN"/>
        </w:rPr>
        <w:t>）</w:t>
      </w:r>
      <w:r w:rsidRPr="00B74430">
        <w:rPr>
          <w:rFonts w:eastAsia="標楷體"/>
          <w:lang w:eastAsia="zh-CN"/>
        </w:rPr>
        <w:t>。天津：天津商业大学。</w:t>
      </w:r>
    </w:p>
    <w:p w14:paraId="1B1CFD86" w14:textId="77777777" w:rsidR="00D71421" w:rsidRPr="00CD1B20" w:rsidRDefault="00D71421" w:rsidP="00D71421">
      <w:pPr>
        <w:pStyle w:val="af7"/>
        <w:numPr>
          <w:ilvl w:val="0"/>
          <w:numId w:val="5"/>
        </w:numPr>
        <w:snapToGrid w:val="0"/>
        <w:spacing w:line="240" w:lineRule="auto"/>
        <w:rPr>
          <w:rFonts w:ascii="Times New Roman" w:eastAsia="標楷體"/>
          <w:sz w:val="24"/>
          <w:szCs w:val="24"/>
        </w:rPr>
      </w:pPr>
      <w:r w:rsidRPr="00CD1B20">
        <w:rPr>
          <w:rFonts w:ascii="Times New Roman" w:eastAsia="標楷體"/>
          <w:sz w:val="24"/>
          <w:szCs w:val="24"/>
          <w:lang w:eastAsia="zh-TW"/>
        </w:rPr>
        <w:t>The Global Association of the Exhibition Industry</w:t>
      </w:r>
      <w:r>
        <w:rPr>
          <w:rFonts w:ascii="Times New Roman" w:eastAsia="標楷體"/>
          <w:sz w:val="24"/>
          <w:szCs w:val="24"/>
          <w:lang w:eastAsia="zh-TW"/>
        </w:rPr>
        <w:t xml:space="preserve"> </w:t>
      </w:r>
      <w:r>
        <w:rPr>
          <w:rFonts w:ascii="Times New Roman" w:eastAsia="標楷體" w:hint="eastAsia"/>
          <w:sz w:val="24"/>
          <w:szCs w:val="24"/>
          <w:lang w:eastAsia="zh-TW"/>
        </w:rPr>
        <w:t>(</w:t>
      </w:r>
      <w:r w:rsidRPr="00CD1B20">
        <w:rPr>
          <w:rFonts w:ascii="Times New Roman" w:eastAsia="標楷體"/>
          <w:sz w:val="24"/>
          <w:szCs w:val="24"/>
          <w:lang w:eastAsia="zh-TW"/>
        </w:rPr>
        <w:t>2019</w:t>
      </w:r>
      <w:r>
        <w:rPr>
          <w:rFonts w:ascii="Times New Roman" w:eastAsia="標楷體"/>
          <w:sz w:val="24"/>
          <w:szCs w:val="24"/>
          <w:lang w:eastAsia="zh-TW"/>
        </w:rPr>
        <w:t>)</w:t>
      </w:r>
      <w:r w:rsidRPr="00CD1B20">
        <w:rPr>
          <w:rFonts w:ascii="Times New Roman" w:eastAsia="標楷體"/>
          <w:sz w:val="24"/>
          <w:szCs w:val="24"/>
          <w:lang w:eastAsia="zh-TW"/>
        </w:rPr>
        <w:t>. UFI Global exhibition barometer, 23</w:t>
      </w:r>
      <w:r w:rsidRPr="00CD1B20">
        <w:rPr>
          <w:rFonts w:ascii="Times New Roman" w:eastAsia="標楷體"/>
          <w:sz w:val="24"/>
          <w:szCs w:val="24"/>
          <w:vertAlign w:val="superscript"/>
          <w:lang w:eastAsia="zh-TW"/>
        </w:rPr>
        <w:t>rd</w:t>
      </w:r>
      <w:r w:rsidRPr="00CD1B20">
        <w:rPr>
          <w:rFonts w:ascii="Times New Roman" w:eastAsia="標楷體"/>
          <w:sz w:val="24"/>
          <w:szCs w:val="24"/>
          <w:lang w:eastAsia="zh-TW"/>
        </w:rPr>
        <w:t xml:space="preserve"> Edition.</w:t>
      </w:r>
    </w:p>
    <w:p w14:paraId="3CBF3B53" w14:textId="77777777" w:rsidR="00D71421" w:rsidRDefault="00D71421" w:rsidP="00D71421">
      <w:pPr>
        <w:pStyle w:val="af6"/>
        <w:numPr>
          <w:ilvl w:val="0"/>
          <w:numId w:val="5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/>
          <w:lang w:eastAsia="zh-CN"/>
        </w:rPr>
        <w:t>Messe Duesseldorf</w:t>
      </w:r>
      <w:r>
        <w:rPr>
          <w:rFonts w:eastAsia="DengXian"/>
          <w:lang w:eastAsia="zh-CN"/>
        </w:rPr>
        <w:t xml:space="preserve"> (</w:t>
      </w:r>
      <w:r>
        <w:rPr>
          <w:rFonts w:eastAsia="標楷體"/>
          <w:lang w:eastAsia="zh-CN"/>
        </w:rPr>
        <w:t>2016</w:t>
      </w:r>
      <w:r>
        <w:rPr>
          <w:rFonts w:eastAsia="DengXian"/>
          <w:lang w:eastAsia="zh-CN"/>
        </w:rPr>
        <w:t>).</w:t>
      </w:r>
      <w:r>
        <w:rPr>
          <w:rFonts w:eastAsia="標楷體"/>
          <w:lang w:eastAsia="zh-CN"/>
        </w:rPr>
        <w:t xml:space="preserve"> Corporate, </w:t>
      </w:r>
      <w:hyperlink r:id="rId17" w:history="1">
        <w:r>
          <w:rPr>
            <w:lang w:eastAsia="zh-CN"/>
          </w:rPr>
          <w:t>http://www.messe-duesseldorf.com/tradefair/</w:t>
        </w:r>
      </w:hyperlink>
      <w:r>
        <w:rPr>
          <w:rFonts w:eastAsia="標楷體"/>
          <w:lang w:eastAsia="zh-CN"/>
        </w:rPr>
        <w:t xml:space="preserve"> company-15.php, accessed on April 2</w:t>
      </w:r>
      <w:r>
        <w:rPr>
          <w:rFonts w:eastAsia="DengXian"/>
          <w:lang w:eastAsia="zh-CN"/>
        </w:rPr>
        <w:t>.</w:t>
      </w:r>
    </w:p>
    <w:p w14:paraId="4793DE7C" w14:textId="77777777" w:rsidR="00D71421" w:rsidRPr="00C65064" w:rsidRDefault="00D71421" w:rsidP="00D71421">
      <w:pPr>
        <w:numPr>
          <w:ilvl w:val="0"/>
          <w:numId w:val="5"/>
        </w:numPr>
        <w:adjustRightInd w:val="0"/>
        <w:snapToGrid w:val="0"/>
        <w:ind w:hangingChars="200"/>
        <w:jc w:val="both"/>
        <w:rPr>
          <w:rFonts w:eastAsia="標楷體"/>
          <w:kern w:val="0"/>
        </w:rPr>
      </w:pPr>
      <w:r w:rsidRPr="00C65064">
        <w:rPr>
          <w:rFonts w:eastAsia="標楷體"/>
          <w:kern w:val="0"/>
          <w:lang w:eastAsia="zh-CN"/>
        </w:rPr>
        <w:t>Powers, J. M., &amp; Cookson, P. W. Jr. (1999). The politics of school choice research. Educational Policy, 13(1), 104-122.</w:t>
      </w:r>
    </w:p>
    <w:p w14:paraId="2E9E522E" w14:textId="4B97F1A1" w:rsidR="003D44C6" w:rsidRPr="00E81CBC" w:rsidRDefault="003D44C6" w:rsidP="00E81CBC">
      <w:pPr>
        <w:numPr>
          <w:ilvl w:val="0"/>
          <w:numId w:val="5"/>
        </w:numPr>
        <w:adjustRightInd w:val="0"/>
        <w:snapToGrid w:val="0"/>
        <w:ind w:hangingChars="200"/>
        <w:jc w:val="both"/>
        <w:rPr>
          <w:rFonts w:eastAsia="標楷體"/>
          <w:kern w:val="0"/>
          <w:lang w:eastAsia="zh-CN"/>
        </w:rPr>
      </w:pPr>
      <w:r w:rsidRPr="00E81CBC">
        <w:rPr>
          <w:rFonts w:eastAsia="標楷體"/>
          <w:kern w:val="0"/>
          <w:lang w:eastAsia="zh-CN"/>
        </w:rPr>
        <w:t>S</w:t>
      </w:r>
      <w:r w:rsidR="00D71421" w:rsidRPr="00E81CBC">
        <w:rPr>
          <w:rFonts w:eastAsia="標楷體"/>
          <w:kern w:val="0"/>
          <w:lang w:eastAsia="zh-CN"/>
        </w:rPr>
        <w:t>mith</w:t>
      </w:r>
      <w:r w:rsidRPr="00E81CBC">
        <w:rPr>
          <w:rFonts w:eastAsia="標楷體"/>
          <w:kern w:val="0"/>
          <w:lang w:eastAsia="zh-CN"/>
        </w:rPr>
        <w:t xml:space="preserve">, </w:t>
      </w:r>
      <w:r w:rsidR="00D71421" w:rsidRPr="00E81CBC">
        <w:rPr>
          <w:rFonts w:eastAsia="標楷體"/>
          <w:kern w:val="0"/>
          <w:lang w:eastAsia="zh-CN"/>
        </w:rPr>
        <w:t>J. P</w:t>
      </w:r>
      <w:r w:rsidRPr="00E81CBC">
        <w:rPr>
          <w:rFonts w:eastAsia="標楷體"/>
          <w:kern w:val="0"/>
          <w:lang w:eastAsia="zh-CN"/>
        </w:rPr>
        <w:t>. (</w:t>
      </w:r>
      <w:r w:rsidR="00D71421" w:rsidRPr="00E81CBC">
        <w:rPr>
          <w:rFonts w:eastAsia="標楷體"/>
          <w:kern w:val="0"/>
          <w:lang w:eastAsia="zh-CN"/>
        </w:rPr>
        <w:t>202</w:t>
      </w:r>
      <w:r w:rsidR="00E81CBC">
        <w:rPr>
          <w:rFonts w:eastAsia="標楷體"/>
          <w:kern w:val="0"/>
          <w:lang w:eastAsia="zh-CN"/>
        </w:rPr>
        <w:t>0</w:t>
      </w:r>
      <w:r w:rsidRPr="00E81CBC">
        <w:rPr>
          <w:rFonts w:eastAsia="標楷體"/>
          <w:kern w:val="0"/>
          <w:lang w:eastAsia="zh-CN"/>
        </w:rPr>
        <w:t>)</w:t>
      </w:r>
      <w:r w:rsidRPr="00E81CBC">
        <w:rPr>
          <w:rFonts w:eastAsia="標楷體" w:hint="eastAsia"/>
          <w:kern w:val="0"/>
          <w:lang w:eastAsia="zh-CN"/>
        </w:rPr>
        <w:t>.</w:t>
      </w:r>
      <w:r w:rsidRPr="00E81CBC">
        <w:rPr>
          <w:rFonts w:eastAsia="標楷體"/>
          <w:kern w:val="0"/>
          <w:lang w:eastAsia="zh-CN"/>
        </w:rPr>
        <w:t xml:space="preserve"> </w:t>
      </w:r>
      <w:r w:rsidR="00D71421" w:rsidRPr="00E81CBC">
        <w:rPr>
          <w:rFonts w:eastAsia="標楷體"/>
          <w:kern w:val="0"/>
          <w:lang w:eastAsia="zh-CN"/>
        </w:rPr>
        <w:t xml:space="preserve">Music and the </w:t>
      </w:r>
      <w:r w:rsidR="00E81CBC">
        <w:rPr>
          <w:rFonts w:eastAsia="標楷體"/>
          <w:kern w:val="0"/>
          <w:lang w:eastAsia="zh-CN"/>
        </w:rPr>
        <w:t>n</w:t>
      </w:r>
      <w:r w:rsidR="00D71421" w:rsidRPr="00E81CBC">
        <w:rPr>
          <w:rFonts w:eastAsia="標楷體"/>
          <w:kern w:val="0"/>
          <w:lang w:eastAsia="zh-CN"/>
        </w:rPr>
        <w:t xml:space="preserve">ew </w:t>
      </w:r>
      <w:r w:rsidR="00E81CBC">
        <w:rPr>
          <w:rFonts w:eastAsia="標楷體"/>
          <w:kern w:val="0"/>
          <w:lang w:eastAsia="zh-CN"/>
        </w:rPr>
        <w:t>g</w:t>
      </w:r>
      <w:r w:rsidR="00D71421" w:rsidRPr="00E81CBC">
        <w:rPr>
          <w:rFonts w:eastAsia="標楷體"/>
          <w:kern w:val="0"/>
          <w:lang w:eastAsia="zh-CN"/>
        </w:rPr>
        <w:t xml:space="preserve">lobal </w:t>
      </w:r>
      <w:r w:rsidR="00E81CBC">
        <w:rPr>
          <w:rFonts w:eastAsia="標楷體"/>
          <w:kern w:val="0"/>
          <w:lang w:eastAsia="zh-CN"/>
        </w:rPr>
        <w:t>c</w:t>
      </w:r>
      <w:r w:rsidR="00D71421" w:rsidRPr="00E81CBC">
        <w:rPr>
          <w:rFonts w:eastAsia="標楷體"/>
          <w:kern w:val="0"/>
          <w:lang w:eastAsia="zh-CN"/>
        </w:rPr>
        <w:t xml:space="preserve">ulture: From the </w:t>
      </w:r>
      <w:r w:rsidR="00E81CBC">
        <w:rPr>
          <w:rFonts w:eastAsia="標楷體"/>
          <w:kern w:val="0"/>
          <w:lang w:eastAsia="zh-CN"/>
        </w:rPr>
        <w:t>g</w:t>
      </w:r>
      <w:r w:rsidR="00D71421" w:rsidRPr="00E81CBC">
        <w:rPr>
          <w:rFonts w:eastAsia="標楷體"/>
          <w:kern w:val="0"/>
          <w:lang w:eastAsia="zh-CN"/>
        </w:rPr>
        <w:t xml:space="preserve">reat </w:t>
      </w:r>
      <w:r w:rsidR="00E81CBC">
        <w:rPr>
          <w:rFonts w:eastAsia="標楷體"/>
          <w:kern w:val="0"/>
          <w:lang w:eastAsia="zh-CN"/>
        </w:rPr>
        <w:t>e</w:t>
      </w:r>
      <w:r w:rsidR="00D71421" w:rsidRPr="00E81CBC">
        <w:rPr>
          <w:rFonts w:eastAsia="標楷體"/>
          <w:kern w:val="0"/>
          <w:lang w:eastAsia="zh-CN"/>
        </w:rPr>
        <w:t>xhibitions to the Jazz Age by Harry Liebersohn</w:t>
      </w:r>
      <w:r w:rsidRPr="00E81CBC">
        <w:rPr>
          <w:rFonts w:eastAsia="標楷體"/>
          <w:kern w:val="0"/>
          <w:lang w:eastAsia="zh-CN"/>
        </w:rPr>
        <w:t xml:space="preserve">, </w:t>
      </w:r>
      <w:hyperlink r:id="rId18" w:tgtFrame="_blank" w:history="1">
        <w:r w:rsidR="00E81CBC" w:rsidRPr="00E81CBC">
          <w:rPr>
            <w:rFonts w:eastAsia="標楷體"/>
            <w:kern w:val="0"/>
            <w:lang w:eastAsia="zh-CN"/>
          </w:rPr>
          <w:t>German Studies Review</w:t>
        </w:r>
      </w:hyperlink>
      <w:r w:rsidR="00E81CBC">
        <w:rPr>
          <w:rFonts w:eastAsia="標楷體"/>
          <w:kern w:val="0"/>
          <w:lang w:eastAsia="zh-CN"/>
        </w:rPr>
        <w:t>,</w:t>
      </w:r>
      <w:r w:rsidR="00E81CBC" w:rsidRPr="00E81CBC">
        <w:rPr>
          <w:rFonts w:eastAsia="標楷體"/>
          <w:kern w:val="0"/>
          <w:lang w:eastAsia="zh-CN"/>
        </w:rPr>
        <w:t xml:space="preserve"> 43</w:t>
      </w:r>
      <w:r w:rsidR="00E81CBC">
        <w:rPr>
          <w:rFonts w:eastAsia="標楷體"/>
          <w:kern w:val="0"/>
          <w:lang w:eastAsia="zh-CN"/>
        </w:rPr>
        <w:t>(</w:t>
      </w:r>
      <w:r w:rsidR="00E81CBC" w:rsidRPr="00E81CBC">
        <w:rPr>
          <w:rFonts w:eastAsia="標楷體"/>
          <w:kern w:val="0"/>
          <w:lang w:eastAsia="zh-CN"/>
        </w:rPr>
        <w:t>3</w:t>
      </w:r>
      <w:r w:rsidR="00E81CBC">
        <w:rPr>
          <w:rFonts w:eastAsia="標楷體"/>
          <w:kern w:val="0"/>
          <w:lang w:eastAsia="zh-CN"/>
        </w:rPr>
        <w:t>),</w:t>
      </w:r>
      <w:r w:rsidR="00E81CBC" w:rsidRPr="00E81CBC">
        <w:rPr>
          <w:rFonts w:eastAsia="標楷體"/>
          <w:kern w:val="0"/>
          <w:lang w:eastAsia="zh-CN"/>
        </w:rPr>
        <w:t xml:space="preserve"> 617-619</w:t>
      </w:r>
      <w:r w:rsidRPr="00E81CBC">
        <w:rPr>
          <w:rFonts w:eastAsia="標楷體"/>
          <w:kern w:val="0"/>
          <w:lang w:eastAsia="zh-CN"/>
        </w:rPr>
        <w:t>.</w:t>
      </w:r>
    </w:p>
    <w:p w14:paraId="4236C862" w14:textId="77777777" w:rsidR="00D71421" w:rsidRPr="00C65064" w:rsidRDefault="00D71421" w:rsidP="00D71421">
      <w:pPr>
        <w:adjustRightInd w:val="0"/>
        <w:snapToGrid w:val="0"/>
        <w:ind w:left="480"/>
        <w:jc w:val="both"/>
        <w:rPr>
          <w:rFonts w:eastAsia="標楷體" w:hint="eastAsia"/>
          <w:kern w:val="0"/>
        </w:rPr>
      </w:pPr>
    </w:p>
    <w:sectPr w:rsidR="00D71421" w:rsidRPr="00C65064" w:rsidSect="00A1434B">
      <w:pgSz w:w="11906" w:h="16838" w:code="9"/>
      <w:pgMar w:top="1588" w:right="1588" w:bottom="1588" w:left="1588" w:header="851" w:footer="851" w:gutter="0"/>
      <w:pgNumType w:fmt="numberInDash" w:start="2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1454" w14:textId="77777777" w:rsidR="004C0968" w:rsidRDefault="004C0968" w:rsidP="00A52FCC">
      <w:r>
        <w:separator/>
      </w:r>
    </w:p>
  </w:endnote>
  <w:endnote w:type="continuationSeparator" w:id="0">
    <w:p w14:paraId="25BAC4F6" w14:textId="77777777" w:rsidR="004C0968" w:rsidRDefault="004C0968" w:rsidP="00A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9DE1" w14:textId="77777777" w:rsidR="004C0968" w:rsidRDefault="004C0968" w:rsidP="00A52FCC">
      <w:r>
        <w:separator/>
      </w:r>
    </w:p>
  </w:footnote>
  <w:footnote w:type="continuationSeparator" w:id="0">
    <w:p w14:paraId="70DA2210" w14:textId="77777777" w:rsidR="004C0968" w:rsidRDefault="004C0968" w:rsidP="00A52FCC">
      <w:r>
        <w:continuationSeparator/>
      </w:r>
    </w:p>
  </w:footnote>
  <w:footnote w:id="1">
    <w:p w14:paraId="00EE71CC" w14:textId="77777777" w:rsidR="00CF3F9E" w:rsidRPr="005446B8" w:rsidRDefault="00CF3F9E" w:rsidP="00CF3F9E">
      <w:pPr>
        <w:pStyle w:val="ac"/>
        <w:adjustRightInd w:val="0"/>
      </w:pPr>
      <w:r w:rsidRPr="005446B8">
        <w:rPr>
          <w:rStyle w:val="ae"/>
        </w:rPr>
        <w:footnoteRef/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lang w:eastAsia="zh-CN"/>
        </w:rPr>
        <w:t>东</w:t>
      </w:r>
      <w:r w:rsidRPr="00127116">
        <w:rPr>
          <w:rFonts w:eastAsia="標楷體" w:hint="eastAsia"/>
          <w:lang w:eastAsia="zh-CN"/>
        </w:rPr>
        <w:t>南</w:t>
      </w:r>
      <w:r w:rsidRPr="005446B8">
        <w:rPr>
          <w:rFonts w:eastAsia="標楷體" w:hint="eastAsia"/>
          <w:lang w:eastAsia="zh-CN"/>
        </w:rPr>
        <w:t>西</w:t>
      </w:r>
      <w:r w:rsidRPr="00127116">
        <w:rPr>
          <w:rFonts w:eastAsia="標楷體" w:hint="eastAsia"/>
          <w:lang w:eastAsia="zh-CN"/>
        </w:rPr>
        <w:t>北</w:t>
      </w:r>
      <w:r w:rsidRPr="005446B8">
        <w:rPr>
          <w:rFonts w:eastAsia="標楷體" w:hint="eastAsia"/>
          <w:lang w:eastAsia="zh-CN"/>
        </w:rPr>
        <w:t>大学</w:t>
      </w:r>
      <w:r>
        <w:rPr>
          <w:rFonts w:eastAsia="標楷體" w:hint="eastAsia"/>
          <w:lang w:eastAsia="zh-CN"/>
        </w:rPr>
        <w:t>商学</w:t>
      </w:r>
      <w:r w:rsidRPr="005446B8">
        <w:rPr>
          <w:rFonts w:eastAsia="標楷體" w:hint="eastAsia"/>
          <w:lang w:eastAsia="zh-CN"/>
        </w:rPr>
        <w:t>系教授</w:t>
      </w:r>
      <w:r w:rsidRPr="005446B8">
        <w:rPr>
          <w:rFonts w:eastAsia="標楷體"/>
        </w:rPr>
        <w:t>aaabbbccc@mail.com*</w:t>
      </w:r>
      <w:r w:rsidRPr="005446B8">
        <w:rPr>
          <w:rFonts w:eastAsia="標楷體" w:hint="eastAsia"/>
          <w:lang w:eastAsia="zh-CN"/>
        </w:rPr>
        <w:t>通讯作者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DA1"/>
    <w:multiLevelType w:val="hybridMultilevel"/>
    <w:tmpl w:val="1C8CA840"/>
    <w:lvl w:ilvl="0" w:tplc="E86C073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rFonts w:cs="Times New Roman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7B64F5"/>
    <w:multiLevelType w:val="hybridMultilevel"/>
    <w:tmpl w:val="A0DCA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2568E"/>
    <w:multiLevelType w:val="hybridMultilevel"/>
    <w:tmpl w:val="AF9211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34476"/>
    <w:multiLevelType w:val="hybridMultilevel"/>
    <w:tmpl w:val="4BE26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032759"/>
    <w:multiLevelType w:val="hybridMultilevel"/>
    <w:tmpl w:val="5AA62B9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7A24AFF"/>
    <w:multiLevelType w:val="hybridMultilevel"/>
    <w:tmpl w:val="D02E04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DD14FE"/>
    <w:multiLevelType w:val="hybridMultilevel"/>
    <w:tmpl w:val="035632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5C5FA3"/>
    <w:multiLevelType w:val="hybridMultilevel"/>
    <w:tmpl w:val="14A07EBE"/>
    <w:lvl w:ilvl="0" w:tplc="54720C08">
      <w:start w:val="4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F4407D"/>
    <w:multiLevelType w:val="hybridMultilevel"/>
    <w:tmpl w:val="67E65A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7E1B67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E35337"/>
    <w:multiLevelType w:val="hybridMultilevel"/>
    <w:tmpl w:val="65445B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786721"/>
    <w:multiLevelType w:val="hybridMultilevel"/>
    <w:tmpl w:val="CEAC2240"/>
    <w:lvl w:ilvl="0" w:tplc="9002FF1C">
      <w:start w:val="5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F39F5"/>
    <w:multiLevelType w:val="hybridMultilevel"/>
    <w:tmpl w:val="3F144C58"/>
    <w:lvl w:ilvl="0" w:tplc="9002FF1C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327ECF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F26DEE"/>
    <w:multiLevelType w:val="multilevel"/>
    <w:tmpl w:val="120CC8BE"/>
    <w:lvl w:ilvl="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5E0EAA"/>
    <w:multiLevelType w:val="multilevel"/>
    <w:tmpl w:val="31200B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A62493"/>
    <w:multiLevelType w:val="hybridMultilevel"/>
    <w:tmpl w:val="B06EDB6E"/>
    <w:lvl w:ilvl="0" w:tplc="B4C6C2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12AD3"/>
    <w:multiLevelType w:val="hybridMultilevel"/>
    <w:tmpl w:val="1E562D7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FA49AD"/>
    <w:multiLevelType w:val="hybridMultilevel"/>
    <w:tmpl w:val="FB80056E"/>
    <w:lvl w:ilvl="0" w:tplc="9DF2F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207E0B"/>
    <w:multiLevelType w:val="hybridMultilevel"/>
    <w:tmpl w:val="94502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996D4E"/>
    <w:multiLevelType w:val="hybridMultilevel"/>
    <w:tmpl w:val="B2EE09B6"/>
    <w:lvl w:ilvl="0" w:tplc="A3BAB2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A43661"/>
    <w:multiLevelType w:val="hybridMultilevel"/>
    <w:tmpl w:val="B2607BE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2920E78"/>
    <w:multiLevelType w:val="hybridMultilevel"/>
    <w:tmpl w:val="EF844B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9"/>
  </w:num>
  <w:num w:numId="12">
    <w:abstractNumId w:val="20"/>
  </w:num>
  <w:num w:numId="13">
    <w:abstractNumId w:val="17"/>
  </w:num>
  <w:num w:numId="14">
    <w:abstractNumId w:val="2"/>
  </w:num>
  <w:num w:numId="15">
    <w:abstractNumId w:val="3"/>
  </w:num>
  <w:num w:numId="16">
    <w:abstractNumId w:val="6"/>
  </w:num>
  <w:num w:numId="17">
    <w:abstractNumId w:val="10"/>
  </w:num>
  <w:num w:numId="18">
    <w:abstractNumId w:val="12"/>
  </w:num>
  <w:num w:numId="19">
    <w:abstractNumId w:val="4"/>
  </w:num>
  <w:num w:numId="20">
    <w:abstractNumId w:val="21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3"/>
  <w:displayHorizontalDrawingGridEvery w:val="0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6E"/>
    <w:rsid w:val="000021FF"/>
    <w:rsid w:val="000039AE"/>
    <w:rsid w:val="00012600"/>
    <w:rsid w:val="00016B89"/>
    <w:rsid w:val="00020C3F"/>
    <w:rsid w:val="00026B82"/>
    <w:rsid w:val="000342CD"/>
    <w:rsid w:val="00035EE7"/>
    <w:rsid w:val="00040AFF"/>
    <w:rsid w:val="000415A5"/>
    <w:rsid w:val="00041B34"/>
    <w:rsid w:val="00042218"/>
    <w:rsid w:val="0005143D"/>
    <w:rsid w:val="00056A28"/>
    <w:rsid w:val="00065FF9"/>
    <w:rsid w:val="000677A2"/>
    <w:rsid w:val="00067D55"/>
    <w:rsid w:val="00071049"/>
    <w:rsid w:val="00073E86"/>
    <w:rsid w:val="0007656A"/>
    <w:rsid w:val="0008627F"/>
    <w:rsid w:val="0009436E"/>
    <w:rsid w:val="00094C60"/>
    <w:rsid w:val="00094E43"/>
    <w:rsid w:val="00097431"/>
    <w:rsid w:val="000A0533"/>
    <w:rsid w:val="000A5EA2"/>
    <w:rsid w:val="000B1536"/>
    <w:rsid w:val="000B3EE7"/>
    <w:rsid w:val="000B424D"/>
    <w:rsid w:val="000B7F40"/>
    <w:rsid w:val="000C0CEB"/>
    <w:rsid w:val="000C400C"/>
    <w:rsid w:val="000C407C"/>
    <w:rsid w:val="000C44F2"/>
    <w:rsid w:val="000D32C9"/>
    <w:rsid w:val="000D3C44"/>
    <w:rsid w:val="000D6A88"/>
    <w:rsid w:val="000D74A2"/>
    <w:rsid w:val="000E1C7A"/>
    <w:rsid w:val="000E22DF"/>
    <w:rsid w:val="000E2F86"/>
    <w:rsid w:val="000E321C"/>
    <w:rsid w:val="000F076F"/>
    <w:rsid w:val="000F0C63"/>
    <w:rsid w:val="000F24B5"/>
    <w:rsid w:val="000F2CA1"/>
    <w:rsid w:val="000F2FA9"/>
    <w:rsid w:val="000F68B0"/>
    <w:rsid w:val="000F7624"/>
    <w:rsid w:val="001041E5"/>
    <w:rsid w:val="0010687F"/>
    <w:rsid w:val="001077A6"/>
    <w:rsid w:val="001143D8"/>
    <w:rsid w:val="00116592"/>
    <w:rsid w:val="00117F94"/>
    <w:rsid w:val="00123802"/>
    <w:rsid w:val="00124581"/>
    <w:rsid w:val="00126EB4"/>
    <w:rsid w:val="00127116"/>
    <w:rsid w:val="00130CBF"/>
    <w:rsid w:val="00133493"/>
    <w:rsid w:val="00134A7C"/>
    <w:rsid w:val="00135195"/>
    <w:rsid w:val="001403E2"/>
    <w:rsid w:val="00141502"/>
    <w:rsid w:val="00142ECA"/>
    <w:rsid w:val="00143793"/>
    <w:rsid w:val="001453F0"/>
    <w:rsid w:val="0014570F"/>
    <w:rsid w:val="00146840"/>
    <w:rsid w:val="00155782"/>
    <w:rsid w:val="00156712"/>
    <w:rsid w:val="0015676C"/>
    <w:rsid w:val="00162FBF"/>
    <w:rsid w:val="0016575B"/>
    <w:rsid w:val="001669A1"/>
    <w:rsid w:val="001671BC"/>
    <w:rsid w:val="00174E97"/>
    <w:rsid w:val="00176350"/>
    <w:rsid w:val="001770DD"/>
    <w:rsid w:val="00180FE6"/>
    <w:rsid w:val="001823C4"/>
    <w:rsid w:val="00183730"/>
    <w:rsid w:val="001855E0"/>
    <w:rsid w:val="00185BCE"/>
    <w:rsid w:val="0018603C"/>
    <w:rsid w:val="001918F3"/>
    <w:rsid w:val="001928A8"/>
    <w:rsid w:val="00193EC6"/>
    <w:rsid w:val="0019587E"/>
    <w:rsid w:val="001961C0"/>
    <w:rsid w:val="00196EFA"/>
    <w:rsid w:val="00197E4D"/>
    <w:rsid w:val="001A43E8"/>
    <w:rsid w:val="001A6C07"/>
    <w:rsid w:val="001A7EC5"/>
    <w:rsid w:val="001B1460"/>
    <w:rsid w:val="001B7457"/>
    <w:rsid w:val="001C0825"/>
    <w:rsid w:val="001C1251"/>
    <w:rsid w:val="001C1DC3"/>
    <w:rsid w:val="001C2F28"/>
    <w:rsid w:val="001D7508"/>
    <w:rsid w:val="001D7720"/>
    <w:rsid w:val="001D7D78"/>
    <w:rsid w:val="001E0FFA"/>
    <w:rsid w:val="001E1FDD"/>
    <w:rsid w:val="001E3D1F"/>
    <w:rsid w:val="001F56A5"/>
    <w:rsid w:val="002028E3"/>
    <w:rsid w:val="002056DF"/>
    <w:rsid w:val="002072B7"/>
    <w:rsid w:val="00207C4D"/>
    <w:rsid w:val="00214521"/>
    <w:rsid w:val="0021605B"/>
    <w:rsid w:val="00220C85"/>
    <w:rsid w:val="00222B94"/>
    <w:rsid w:val="00223ADF"/>
    <w:rsid w:val="00227369"/>
    <w:rsid w:val="002341B5"/>
    <w:rsid w:val="002361C3"/>
    <w:rsid w:val="00236796"/>
    <w:rsid w:val="002368F1"/>
    <w:rsid w:val="00236D32"/>
    <w:rsid w:val="00240997"/>
    <w:rsid w:val="002453E0"/>
    <w:rsid w:val="002455F0"/>
    <w:rsid w:val="00245665"/>
    <w:rsid w:val="002457D4"/>
    <w:rsid w:val="00250BB1"/>
    <w:rsid w:val="0025324B"/>
    <w:rsid w:val="00254594"/>
    <w:rsid w:val="00254744"/>
    <w:rsid w:val="002605C0"/>
    <w:rsid w:val="00260956"/>
    <w:rsid w:val="00264034"/>
    <w:rsid w:val="0026546F"/>
    <w:rsid w:val="00267F81"/>
    <w:rsid w:val="00272062"/>
    <w:rsid w:val="002753B5"/>
    <w:rsid w:val="00282592"/>
    <w:rsid w:val="00286BB6"/>
    <w:rsid w:val="002871BB"/>
    <w:rsid w:val="0029359B"/>
    <w:rsid w:val="002949CF"/>
    <w:rsid w:val="00295712"/>
    <w:rsid w:val="002A5A7A"/>
    <w:rsid w:val="002B0E4E"/>
    <w:rsid w:val="002B1153"/>
    <w:rsid w:val="002B3ED5"/>
    <w:rsid w:val="002B4176"/>
    <w:rsid w:val="002B4648"/>
    <w:rsid w:val="002B5EDD"/>
    <w:rsid w:val="002B6ADB"/>
    <w:rsid w:val="002B7484"/>
    <w:rsid w:val="002C121D"/>
    <w:rsid w:val="002C3DEC"/>
    <w:rsid w:val="002C4DB0"/>
    <w:rsid w:val="002C54C4"/>
    <w:rsid w:val="002D315E"/>
    <w:rsid w:val="002D6528"/>
    <w:rsid w:val="002D721B"/>
    <w:rsid w:val="002D7FD9"/>
    <w:rsid w:val="002E0644"/>
    <w:rsid w:val="002E28A9"/>
    <w:rsid w:val="002E72D6"/>
    <w:rsid w:val="002F4908"/>
    <w:rsid w:val="002F51DA"/>
    <w:rsid w:val="0030634C"/>
    <w:rsid w:val="003103EA"/>
    <w:rsid w:val="003111D1"/>
    <w:rsid w:val="00314F38"/>
    <w:rsid w:val="00321EE8"/>
    <w:rsid w:val="0032282A"/>
    <w:rsid w:val="00323F44"/>
    <w:rsid w:val="00324541"/>
    <w:rsid w:val="00324AD1"/>
    <w:rsid w:val="0032671D"/>
    <w:rsid w:val="00327A35"/>
    <w:rsid w:val="00331FEB"/>
    <w:rsid w:val="00333C6C"/>
    <w:rsid w:val="003426E6"/>
    <w:rsid w:val="00342923"/>
    <w:rsid w:val="00344947"/>
    <w:rsid w:val="00346A96"/>
    <w:rsid w:val="003625B4"/>
    <w:rsid w:val="00364092"/>
    <w:rsid w:val="00367264"/>
    <w:rsid w:val="003757E6"/>
    <w:rsid w:val="00377945"/>
    <w:rsid w:val="00382415"/>
    <w:rsid w:val="00384D6F"/>
    <w:rsid w:val="00392E31"/>
    <w:rsid w:val="0039319C"/>
    <w:rsid w:val="003A12ED"/>
    <w:rsid w:val="003A4390"/>
    <w:rsid w:val="003A590C"/>
    <w:rsid w:val="003B2289"/>
    <w:rsid w:val="003B5EEC"/>
    <w:rsid w:val="003B6087"/>
    <w:rsid w:val="003B695F"/>
    <w:rsid w:val="003D2B24"/>
    <w:rsid w:val="003D43C4"/>
    <w:rsid w:val="003D44C6"/>
    <w:rsid w:val="003D4F79"/>
    <w:rsid w:val="003D6DE4"/>
    <w:rsid w:val="003D7F03"/>
    <w:rsid w:val="003E06C7"/>
    <w:rsid w:val="003E4569"/>
    <w:rsid w:val="003E5EC1"/>
    <w:rsid w:val="003E5FEC"/>
    <w:rsid w:val="003E7D10"/>
    <w:rsid w:val="003F06CF"/>
    <w:rsid w:val="003F19B1"/>
    <w:rsid w:val="003F2368"/>
    <w:rsid w:val="003F2C00"/>
    <w:rsid w:val="003F2F2B"/>
    <w:rsid w:val="003F34F5"/>
    <w:rsid w:val="00400761"/>
    <w:rsid w:val="00402965"/>
    <w:rsid w:val="004067EF"/>
    <w:rsid w:val="00407B5A"/>
    <w:rsid w:val="0041224C"/>
    <w:rsid w:val="00413978"/>
    <w:rsid w:val="00415532"/>
    <w:rsid w:val="004234D2"/>
    <w:rsid w:val="00423A22"/>
    <w:rsid w:val="0042507B"/>
    <w:rsid w:val="00425BCF"/>
    <w:rsid w:val="0042789A"/>
    <w:rsid w:val="0043113F"/>
    <w:rsid w:val="0043420F"/>
    <w:rsid w:val="00436842"/>
    <w:rsid w:val="0043718F"/>
    <w:rsid w:val="0044224B"/>
    <w:rsid w:val="00444ECE"/>
    <w:rsid w:val="00450BE8"/>
    <w:rsid w:val="004544A8"/>
    <w:rsid w:val="004547C5"/>
    <w:rsid w:val="004560FA"/>
    <w:rsid w:val="00457D70"/>
    <w:rsid w:val="0046657A"/>
    <w:rsid w:val="00477C07"/>
    <w:rsid w:val="00477F6B"/>
    <w:rsid w:val="00484574"/>
    <w:rsid w:val="00485D4A"/>
    <w:rsid w:val="004869B9"/>
    <w:rsid w:val="00490FBA"/>
    <w:rsid w:val="00493001"/>
    <w:rsid w:val="004932E5"/>
    <w:rsid w:val="004A00FB"/>
    <w:rsid w:val="004A1781"/>
    <w:rsid w:val="004A274E"/>
    <w:rsid w:val="004A6CBB"/>
    <w:rsid w:val="004B1E62"/>
    <w:rsid w:val="004B43D5"/>
    <w:rsid w:val="004B44C4"/>
    <w:rsid w:val="004C0047"/>
    <w:rsid w:val="004C0968"/>
    <w:rsid w:val="004C1467"/>
    <w:rsid w:val="004C66C1"/>
    <w:rsid w:val="004C7222"/>
    <w:rsid w:val="004D177E"/>
    <w:rsid w:val="004D339F"/>
    <w:rsid w:val="004D36BE"/>
    <w:rsid w:val="004D4B89"/>
    <w:rsid w:val="004D5AB0"/>
    <w:rsid w:val="004E5426"/>
    <w:rsid w:val="004E7FD5"/>
    <w:rsid w:val="004F13CA"/>
    <w:rsid w:val="004F348B"/>
    <w:rsid w:val="004F3533"/>
    <w:rsid w:val="004F63C3"/>
    <w:rsid w:val="004F6C20"/>
    <w:rsid w:val="00504B32"/>
    <w:rsid w:val="0050531C"/>
    <w:rsid w:val="00506201"/>
    <w:rsid w:val="005075A4"/>
    <w:rsid w:val="00510B66"/>
    <w:rsid w:val="00511AB7"/>
    <w:rsid w:val="0051248F"/>
    <w:rsid w:val="00515F64"/>
    <w:rsid w:val="0051681E"/>
    <w:rsid w:val="005256D2"/>
    <w:rsid w:val="00527A4E"/>
    <w:rsid w:val="0053111A"/>
    <w:rsid w:val="00536FFA"/>
    <w:rsid w:val="005446B8"/>
    <w:rsid w:val="005447FA"/>
    <w:rsid w:val="00545259"/>
    <w:rsid w:val="0055232B"/>
    <w:rsid w:val="00553ECE"/>
    <w:rsid w:val="0056514A"/>
    <w:rsid w:val="00566337"/>
    <w:rsid w:val="00571156"/>
    <w:rsid w:val="00571408"/>
    <w:rsid w:val="005728AC"/>
    <w:rsid w:val="00573267"/>
    <w:rsid w:val="0057409D"/>
    <w:rsid w:val="005757F1"/>
    <w:rsid w:val="0058028D"/>
    <w:rsid w:val="005835D5"/>
    <w:rsid w:val="00583DD2"/>
    <w:rsid w:val="005862FA"/>
    <w:rsid w:val="0058634D"/>
    <w:rsid w:val="00587415"/>
    <w:rsid w:val="005920E1"/>
    <w:rsid w:val="0059254E"/>
    <w:rsid w:val="005955A3"/>
    <w:rsid w:val="005A1732"/>
    <w:rsid w:val="005A2AEB"/>
    <w:rsid w:val="005B1600"/>
    <w:rsid w:val="005B3D93"/>
    <w:rsid w:val="005B3DC4"/>
    <w:rsid w:val="005B4AE7"/>
    <w:rsid w:val="005B62D1"/>
    <w:rsid w:val="005B6722"/>
    <w:rsid w:val="005B789E"/>
    <w:rsid w:val="005B7B36"/>
    <w:rsid w:val="005C02C0"/>
    <w:rsid w:val="005C0CF7"/>
    <w:rsid w:val="005C115E"/>
    <w:rsid w:val="005C2E42"/>
    <w:rsid w:val="005C39E8"/>
    <w:rsid w:val="005C784A"/>
    <w:rsid w:val="005D047A"/>
    <w:rsid w:val="005D4154"/>
    <w:rsid w:val="005D43F0"/>
    <w:rsid w:val="005D5867"/>
    <w:rsid w:val="005D5925"/>
    <w:rsid w:val="005E0A29"/>
    <w:rsid w:val="005E3060"/>
    <w:rsid w:val="005E3207"/>
    <w:rsid w:val="005E5D98"/>
    <w:rsid w:val="005F44F0"/>
    <w:rsid w:val="005F478B"/>
    <w:rsid w:val="0060285A"/>
    <w:rsid w:val="00602FD7"/>
    <w:rsid w:val="006062FD"/>
    <w:rsid w:val="0061582E"/>
    <w:rsid w:val="00615E5E"/>
    <w:rsid w:val="00616BBE"/>
    <w:rsid w:val="00620AA6"/>
    <w:rsid w:val="00620E2B"/>
    <w:rsid w:val="006212CE"/>
    <w:rsid w:val="00627D23"/>
    <w:rsid w:val="0063039B"/>
    <w:rsid w:val="00634AED"/>
    <w:rsid w:val="00637125"/>
    <w:rsid w:val="00640350"/>
    <w:rsid w:val="006417C9"/>
    <w:rsid w:val="006513B8"/>
    <w:rsid w:val="00653B16"/>
    <w:rsid w:val="00654592"/>
    <w:rsid w:val="0066171A"/>
    <w:rsid w:val="0066613E"/>
    <w:rsid w:val="00667CBD"/>
    <w:rsid w:val="006729B0"/>
    <w:rsid w:val="00674644"/>
    <w:rsid w:val="0067531B"/>
    <w:rsid w:val="00676142"/>
    <w:rsid w:val="00676A17"/>
    <w:rsid w:val="0067799B"/>
    <w:rsid w:val="006810B6"/>
    <w:rsid w:val="0068221A"/>
    <w:rsid w:val="0068278E"/>
    <w:rsid w:val="00684ED8"/>
    <w:rsid w:val="00687540"/>
    <w:rsid w:val="006875EC"/>
    <w:rsid w:val="0069120D"/>
    <w:rsid w:val="006928CE"/>
    <w:rsid w:val="00693ACA"/>
    <w:rsid w:val="00697452"/>
    <w:rsid w:val="006A236A"/>
    <w:rsid w:val="006A27D7"/>
    <w:rsid w:val="006A2A06"/>
    <w:rsid w:val="006A2E32"/>
    <w:rsid w:val="006A38D5"/>
    <w:rsid w:val="006A5014"/>
    <w:rsid w:val="006A7FFE"/>
    <w:rsid w:val="006B2B61"/>
    <w:rsid w:val="006B2F2D"/>
    <w:rsid w:val="006B49C6"/>
    <w:rsid w:val="006B552B"/>
    <w:rsid w:val="006C06A8"/>
    <w:rsid w:val="006C160F"/>
    <w:rsid w:val="006C5739"/>
    <w:rsid w:val="006D049E"/>
    <w:rsid w:val="006D5BD3"/>
    <w:rsid w:val="006D5FB2"/>
    <w:rsid w:val="006E34E8"/>
    <w:rsid w:val="006E5898"/>
    <w:rsid w:val="006E60B4"/>
    <w:rsid w:val="006E6888"/>
    <w:rsid w:val="006E6CBC"/>
    <w:rsid w:val="006E720A"/>
    <w:rsid w:val="006E7562"/>
    <w:rsid w:val="006F0D7D"/>
    <w:rsid w:val="006F4F51"/>
    <w:rsid w:val="006F55FE"/>
    <w:rsid w:val="007035D2"/>
    <w:rsid w:val="007048C3"/>
    <w:rsid w:val="00705043"/>
    <w:rsid w:val="00705D3D"/>
    <w:rsid w:val="00710353"/>
    <w:rsid w:val="00712A92"/>
    <w:rsid w:val="00712D11"/>
    <w:rsid w:val="00714502"/>
    <w:rsid w:val="00720073"/>
    <w:rsid w:val="007238D1"/>
    <w:rsid w:val="00725E20"/>
    <w:rsid w:val="007303DC"/>
    <w:rsid w:val="00734091"/>
    <w:rsid w:val="00734B36"/>
    <w:rsid w:val="00735105"/>
    <w:rsid w:val="0073714F"/>
    <w:rsid w:val="007467B9"/>
    <w:rsid w:val="00753BDB"/>
    <w:rsid w:val="00754B2A"/>
    <w:rsid w:val="00754ECF"/>
    <w:rsid w:val="007551A9"/>
    <w:rsid w:val="00760015"/>
    <w:rsid w:val="00760FBC"/>
    <w:rsid w:val="00763737"/>
    <w:rsid w:val="007638EE"/>
    <w:rsid w:val="00764549"/>
    <w:rsid w:val="007668F4"/>
    <w:rsid w:val="00771706"/>
    <w:rsid w:val="00781827"/>
    <w:rsid w:val="0078213B"/>
    <w:rsid w:val="00782755"/>
    <w:rsid w:val="007835C9"/>
    <w:rsid w:val="00783B93"/>
    <w:rsid w:val="00786FCE"/>
    <w:rsid w:val="00790774"/>
    <w:rsid w:val="007A202F"/>
    <w:rsid w:val="007A56DD"/>
    <w:rsid w:val="007A5A5F"/>
    <w:rsid w:val="007A5C65"/>
    <w:rsid w:val="007A6520"/>
    <w:rsid w:val="007A7BAF"/>
    <w:rsid w:val="007B0065"/>
    <w:rsid w:val="007B1727"/>
    <w:rsid w:val="007B2351"/>
    <w:rsid w:val="007B34D5"/>
    <w:rsid w:val="007B5677"/>
    <w:rsid w:val="007B6EE1"/>
    <w:rsid w:val="007C1CD5"/>
    <w:rsid w:val="007C4326"/>
    <w:rsid w:val="007C6C37"/>
    <w:rsid w:val="007C7E80"/>
    <w:rsid w:val="007D3258"/>
    <w:rsid w:val="007D666F"/>
    <w:rsid w:val="007D6D88"/>
    <w:rsid w:val="007D75B3"/>
    <w:rsid w:val="007E7504"/>
    <w:rsid w:val="007F0286"/>
    <w:rsid w:val="007F0998"/>
    <w:rsid w:val="007F0A30"/>
    <w:rsid w:val="007F4257"/>
    <w:rsid w:val="007F6EDD"/>
    <w:rsid w:val="0080086B"/>
    <w:rsid w:val="008021BC"/>
    <w:rsid w:val="00803374"/>
    <w:rsid w:val="008109CC"/>
    <w:rsid w:val="00814102"/>
    <w:rsid w:val="0081649E"/>
    <w:rsid w:val="00816B48"/>
    <w:rsid w:val="00816C62"/>
    <w:rsid w:val="0081779F"/>
    <w:rsid w:val="00817E84"/>
    <w:rsid w:val="0082332F"/>
    <w:rsid w:val="0082357E"/>
    <w:rsid w:val="00824E63"/>
    <w:rsid w:val="00826C6C"/>
    <w:rsid w:val="00827941"/>
    <w:rsid w:val="008306E4"/>
    <w:rsid w:val="00834EF8"/>
    <w:rsid w:val="00835A7E"/>
    <w:rsid w:val="00837565"/>
    <w:rsid w:val="00837FBF"/>
    <w:rsid w:val="00843178"/>
    <w:rsid w:val="00843BE2"/>
    <w:rsid w:val="00844EEF"/>
    <w:rsid w:val="00844F2E"/>
    <w:rsid w:val="008453B0"/>
    <w:rsid w:val="00845512"/>
    <w:rsid w:val="00855BEF"/>
    <w:rsid w:val="008608DD"/>
    <w:rsid w:val="0086137A"/>
    <w:rsid w:val="00861EF3"/>
    <w:rsid w:val="00866B5D"/>
    <w:rsid w:val="00867341"/>
    <w:rsid w:val="00870715"/>
    <w:rsid w:val="00873AB4"/>
    <w:rsid w:val="00874041"/>
    <w:rsid w:val="00874169"/>
    <w:rsid w:val="008762C0"/>
    <w:rsid w:val="0088153E"/>
    <w:rsid w:val="008823B9"/>
    <w:rsid w:val="00883550"/>
    <w:rsid w:val="00884C32"/>
    <w:rsid w:val="008905DE"/>
    <w:rsid w:val="008921E6"/>
    <w:rsid w:val="00895040"/>
    <w:rsid w:val="008A0232"/>
    <w:rsid w:val="008A032C"/>
    <w:rsid w:val="008A40A8"/>
    <w:rsid w:val="008B04BC"/>
    <w:rsid w:val="008B1303"/>
    <w:rsid w:val="008B1490"/>
    <w:rsid w:val="008B312D"/>
    <w:rsid w:val="008B4EDA"/>
    <w:rsid w:val="008D2217"/>
    <w:rsid w:val="008D25C5"/>
    <w:rsid w:val="008D2886"/>
    <w:rsid w:val="008D3E52"/>
    <w:rsid w:val="008E047E"/>
    <w:rsid w:val="008E34FA"/>
    <w:rsid w:val="008E59B9"/>
    <w:rsid w:val="008E7C33"/>
    <w:rsid w:val="008F16AC"/>
    <w:rsid w:val="008F28CB"/>
    <w:rsid w:val="008F413C"/>
    <w:rsid w:val="008F55FF"/>
    <w:rsid w:val="00903418"/>
    <w:rsid w:val="00904596"/>
    <w:rsid w:val="009047E0"/>
    <w:rsid w:val="00911FCD"/>
    <w:rsid w:val="00917BCD"/>
    <w:rsid w:val="0092046E"/>
    <w:rsid w:val="009212A8"/>
    <w:rsid w:val="00925576"/>
    <w:rsid w:val="00927C56"/>
    <w:rsid w:val="00927E68"/>
    <w:rsid w:val="00931C9A"/>
    <w:rsid w:val="0093387B"/>
    <w:rsid w:val="00935001"/>
    <w:rsid w:val="00935BEF"/>
    <w:rsid w:val="00936605"/>
    <w:rsid w:val="00936660"/>
    <w:rsid w:val="009405AB"/>
    <w:rsid w:val="00943FCC"/>
    <w:rsid w:val="0094645C"/>
    <w:rsid w:val="0094651B"/>
    <w:rsid w:val="00946751"/>
    <w:rsid w:val="00951873"/>
    <w:rsid w:val="0095291E"/>
    <w:rsid w:val="009529BA"/>
    <w:rsid w:val="00952BBF"/>
    <w:rsid w:val="00954909"/>
    <w:rsid w:val="00956A1A"/>
    <w:rsid w:val="0096038A"/>
    <w:rsid w:val="00960443"/>
    <w:rsid w:val="00960C0A"/>
    <w:rsid w:val="00961EC2"/>
    <w:rsid w:val="009641F2"/>
    <w:rsid w:val="00967AB2"/>
    <w:rsid w:val="009719F7"/>
    <w:rsid w:val="00972F19"/>
    <w:rsid w:val="009769AC"/>
    <w:rsid w:val="0097792B"/>
    <w:rsid w:val="00977D98"/>
    <w:rsid w:val="00977E45"/>
    <w:rsid w:val="009815B4"/>
    <w:rsid w:val="00986914"/>
    <w:rsid w:val="00987996"/>
    <w:rsid w:val="00987BBA"/>
    <w:rsid w:val="00991422"/>
    <w:rsid w:val="009954C7"/>
    <w:rsid w:val="0099714C"/>
    <w:rsid w:val="009A02FC"/>
    <w:rsid w:val="009A0A20"/>
    <w:rsid w:val="009A1B51"/>
    <w:rsid w:val="009A2615"/>
    <w:rsid w:val="009A5524"/>
    <w:rsid w:val="009A57FC"/>
    <w:rsid w:val="009B0C40"/>
    <w:rsid w:val="009B5A4D"/>
    <w:rsid w:val="009B5CB0"/>
    <w:rsid w:val="009B6B18"/>
    <w:rsid w:val="009C0506"/>
    <w:rsid w:val="009C33FC"/>
    <w:rsid w:val="009C60CE"/>
    <w:rsid w:val="009D0C4E"/>
    <w:rsid w:val="009D1A8C"/>
    <w:rsid w:val="009D41FF"/>
    <w:rsid w:val="009E150B"/>
    <w:rsid w:val="009E1964"/>
    <w:rsid w:val="009E3EBE"/>
    <w:rsid w:val="009E3F05"/>
    <w:rsid w:val="00A01DF2"/>
    <w:rsid w:val="00A023DA"/>
    <w:rsid w:val="00A05A66"/>
    <w:rsid w:val="00A12E62"/>
    <w:rsid w:val="00A1434B"/>
    <w:rsid w:val="00A16B96"/>
    <w:rsid w:val="00A175B8"/>
    <w:rsid w:val="00A17BAF"/>
    <w:rsid w:val="00A20A72"/>
    <w:rsid w:val="00A24047"/>
    <w:rsid w:val="00A26240"/>
    <w:rsid w:val="00A33FA7"/>
    <w:rsid w:val="00A3614C"/>
    <w:rsid w:val="00A41F0B"/>
    <w:rsid w:val="00A4342B"/>
    <w:rsid w:val="00A437D3"/>
    <w:rsid w:val="00A4609C"/>
    <w:rsid w:val="00A473C7"/>
    <w:rsid w:val="00A519F6"/>
    <w:rsid w:val="00A52FCC"/>
    <w:rsid w:val="00A54D98"/>
    <w:rsid w:val="00A54E5E"/>
    <w:rsid w:val="00A56813"/>
    <w:rsid w:val="00A60DAA"/>
    <w:rsid w:val="00A6227A"/>
    <w:rsid w:val="00A702E7"/>
    <w:rsid w:val="00A72FB0"/>
    <w:rsid w:val="00A752A5"/>
    <w:rsid w:val="00A75B1E"/>
    <w:rsid w:val="00A75BBD"/>
    <w:rsid w:val="00A82AF1"/>
    <w:rsid w:val="00A82CBD"/>
    <w:rsid w:val="00A82F68"/>
    <w:rsid w:val="00A82FE1"/>
    <w:rsid w:val="00A85AC8"/>
    <w:rsid w:val="00A87367"/>
    <w:rsid w:val="00A878C1"/>
    <w:rsid w:val="00A87A07"/>
    <w:rsid w:val="00A87E7F"/>
    <w:rsid w:val="00A94D8F"/>
    <w:rsid w:val="00A95853"/>
    <w:rsid w:val="00A95E95"/>
    <w:rsid w:val="00AA03DE"/>
    <w:rsid w:val="00AA06E6"/>
    <w:rsid w:val="00AA1375"/>
    <w:rsid w:val="00AA2535"/>
    <w:rsid w:val="00AA3383"/>
    <w:rsid w:val="00AA3813"/>
    <w:rsid w:val="00AA6391"/>
    <w:rsid w:val="00AA7A3C"/>
    <w:rsid w:val="00AB118B"/>
    <w:rsid w:val="00AB2951"/>
    <w:rsid w:val="00AB6705"/>
    <w:rsid w:val="00AB795E"/>
    <w:rsid w:val="00AC20F4"/>
    <w:rsid w:val="00AC7475"/>
    <w:rsid w:val="00AC786E"/>
    <w:rsid w:val="00AD625B"/>
    <w:rsid w:val="00AE040D"/>
    <w:rsid w:val="00AE0F12"/>
    <w:rsid w:val="00AE2304"/>
    <w:rsid w:val="00AE3B05"/>
    <w:rsid w:val="00AE6316"/>
    <w:rsid w:val="00AF03CE"/>
    <w:rsid w:val="00AF26AE"/>
    <w:rsid w:val="00AF2BF5"/>
    <w:rsid w:val="00AF4BE2"/>
    <w:rsid w:val="00AF7F01"/>
    <w:rsid w:val="00B011B2"/>
    <w:rsid w:val="00B0288E"/>
    <w:rsid w:val="00B0452F"/>
    <w:rsid w:val="00B07858"/>
    <w:rsid w:val="00B11A31"/>
    <w:rsid w:val="00B14858"/>
    <w:rsid w:val="00B14C50"/>
    <w:rsid w:val="00B16798"/>
    <w:rsid w:val="00B178A9"/>
    <w:rsid w:val="00B20DBB"/>
    <w:rsid w:val="00B23E6D"/>
    <w:rsid w:val="00B24D12"/>
    <w:rsid w:val="00B25C24"/>
    <w:rsid w:val="00B31269"/>
    <w:rsid w:val="00B32A66"/>
    <w:rsid w:val="00B3563A"/>
    <w:rsid w:val="00B378C6"/>
    <w:rsid w:val="00B378E0"/>
    <w:rsid w:val="00B37F37"/>
    <w:rsid w:val="00B417C3"/>
    <w:rsid w:val="00B4277E"/>
    <w:rsid w:val="00B441EE"/>
    <w:rsid w:val="00B45F19"/>
    <w:rsid w:val="00B5162E"/>
    <w:rsid w:val="00B526A5"/>
    <w:rsid w:val="00B52E5D"/>
    <w:rsid w:val="00B54F6F"/>
    <w:rsid w:val="00B628D3"/>
    <w:rsid w:val="00B65C17"/>
    <w:rsid w:val="00B6752C"/>
    <w:rsid w:val="00B8119D"/>
    <w:rsid w:val="00B815DC"/>
    <w:rsid w:val="00B835F0"/>
    <w:rsid w:val="00B83CC8"/>
    <w:rsid w:val="00B845AF"/>
    <w:rsid w:val="00B84817"/>
    <w:rsid w:val="00B86560"/>
    <w:rsid w:val="00B86A48"/>
    <w:rsid w:val="00B87984"/>
    <w:rsid w:val="00B87ECB"/>
    <w:rsid w:val="00B929A7"/>
    <w:rsid w:val="00B94679"/>
    <w:rsid w:val="00B9594D"/>
    <w:rsid w:val="00B96767"/>
    <w:rsid w:val="00BA049C"/>
    <w:rsid w:val="00BA434E"/>
    <w:rsid w:val="00BA44BD"/>
    <w:rsid w:val="00BA463D"/>
    <w:rsid w:val="00BB3350"/>
    <w:rsid w:val="00BB4600"/>
    <w:rsid w:val="00BB4698"/>
    <w:rsid w:val="00BB5EBF"/>
    <w:rsid w:val="00BC12A0"/>
    <w:rsid w:val="00BC23B9"/>
    <w:rsid w:val="00BC296F"/>
    <w:rsid w:val="00BC62E3"/>
    <w:rsid w:val="00BD21BB"/>
    <w:rsid w:val="00BD4081"/>
    <w:rsid w:val="00BD4779"/>
    <w:rsid w:val="00BE17AA"/>
    <w:rsid w:val="00BE297C"/>
    <w:rsid w:val="00BE3B97"/>
    <w:rsid w:val="00BE5E28"/>
    <w:rsid w:val="00BE6BDC"/>
    <w:rsid w:val="00BF0D6F"/>
    <w:rsid w:val="00C026B1"/>
    <w:rsid w:val="00C04318"/>
    <w:rsid w:val="00C06197"/>
    <w:rsid w:val="00C108C7"/>
    <w:rsid w:val="00C112A7"/>
    <w:rsid w:val="00C11FA1"/>
    <w:rsid w:val="00C163E4"/>
    <w:rsid w:val="00C1651E"/>
    <w:rsid w:val="00C167CD"/>
    <w:rsid w:val="00C246B7"/>
    <w:rsid w:val="00C24873"/>
    <w:rsid w:val="00C274CF"/>
    <w:rsid w:val="00C30644"/>
    <w:rsid w:val="00C4230C"/>
    <w:rsid w:val="00C42931"/>
    <w:rsid w:val="00C45503"/>
    <w:rsid w:val="00C45B60"/>
    <w:rsid w:val="00C46552"/>
    <w:rsid w:val="00C56E2C"/>
    <w:rsid w:val="00C60E13"/>
    <w:rsid w:val="00C624EE"/>
    <w:rsid w:val="00C63EE7"/>
    <w:rsid w:val="00C641BB"/>
    <w:rsid w:val="00C65064"/>
    <w:rsid w:val="00C70215"/>
    <w:rsid w:val="00C71C0C"/>
    <w:rsid w:val="00C7428C"/>
    <w:rsid w:val="00C76379"/>
    <w:rsid w:val="00C80B78"/>
    <w:rsid w:val="00C84DBC"/>
    <w:rsid w:val="00C918DB"/>
    <w:rsid w:val="00CA5083"/>
    <w:rsid w:val="00CA64DA"/>
    <w:rsid w:val="00CB4479"/>
    <w:rsid w:val="00CB67CF"/>
    <w:rsid w:val="00CC7878"/>
    <w:rsid w:val="00CC78F5"/>
    <w:rsid w:val="00CD0E24"/>
    <w:rsid w:val="00CD4D09"/>
    <w:rsid w:val="00CE048B"/>
    <w:rsid w:val="00CE2D98"/>
    <w:rsid w:val="00CE3453"/>
    <w:rsid w:val="00CE4EF2"/>
    <w:rsid w:val="00CF30F6"/>
    <w:rsid w:val="00CF3F9E"/>
    <w:rsid w:val="00CF4723"/>
    <w:rsid w:val="00CF62EF"/>
    <w:rsid w:val="00CF70B1"/>
    <w:rsid w:val="00D00AD0"/>
    <w:rsid w:val="00D02127"/>
    <w:rsid w:val="00D05AFA"/>
    <w:rsid w:val="00D171A1"/>
    <w:rsid w:val="00D1754D"/>
    <w:rsid w:val="00D238AD"/>
    <w:rsid w:val="00D24021"/>
    <w:rsid w:val="00D24DF0"/>
    <w:rsid w:val="00D24F46"/>
    <w:rsid w:val="00D258EA"/>
    <w:rsid w:val="00D30204"/>
    <w:rsid w:val="00D31637"/>
    <w:rsid w:val="00D31C4F"/>
    <w:rsid w:val="00D329AB"/>
    <w:rsid w:val="00D33A48"/>
    <w:rsid w:val="00D36A95"/>
    <w:rsid w:val="00D45335"/>
    <w:rsid w:val="00D458A7"/>
    <w:rsid w:val="00D511DF"/>
    <w:rsid w:val="00D54192"/>
    <w:rsid w:val="00D545FD"/>
    <w:rsid w:val="00D549A1"/>
    <w:rsid w:val="00D6784F"/>
    <w:rsid w:val="00D7027F"/>
    <w:rsid w:val="00D71421"/>
    <w:rsid w:val="00D75FCE"/>
    <w:rsid w:val="00D76583"/>
    <w:rsid w:val="00D81F6F"/>
    <w:rsid w:val="00D847FA"/>
    <w:rsid w:val="00D87A56"/>
    <w:rsid w:val="00D9048D"/>
    <w:rsid w:val="00D906B0"/>
    <w:rsid w:val="00D90A11"/>
    <w:rsid w:val="00D90FD3"/>
    <w:rsid w:val="00D918FA"/>
    <w:rsid w:val="00D96EB2"/>
    <w:rsid w:val="00D97502"/>
    <w:rsid w:val="00DA1013"/>
    <w:rsid w:val="00DA2D8A"/>
    <w:rsid w:val="00DA2E49"/>
    <w:rsid w:val="00DA4A59"/>
    <w:rsid w:val="00DA6054"/>
    <w:rsid w:val="00DA6298"/>
    <w:rsid w:val="00DB0CB1"/>
    <w:rsid w:val="00DB2166"/>
    <w:rsid w:val="00DB3BFD"/>
    <w:rsid w:val="00DB5C22"/>
    <w:rsid w:val="00DC0638"/>
    <w:rsid w:val="00DC16E0"/>
    <w:rsid w:val="00DC30D0"/>
    <w:rsid w:val="00DC3217"/>
    <w:rsid w:val="00DC3420"/>
    <w:rsid w:val="00DC34E2"/>
    <w:rsid w:val="00DC3F24"/>
    <w:rsid w:val="00DC5C6A"/>
    <w:rsid w:val="00DC6E82"/>
    <w:rsid w:val="00DD2184"/>
    <w:rsid w:val="00DD2486"/>
    <w:rsid w:val="00DD38BD"/>
    <w:rsid w:val="00DD58C4"/>
    <w:rsid w:val="00DD7A9F"/>
    <w:rsid w:val="00DE1DD5"/>
    <w:rsid w:val="00DE6F10"/>
    <w:rsid w:val="00DF0352"/>
    <w:rsid w:val="00DF0C1C"/>
    <w:rsid w:val="00DF2873"/>
    <w:rsid w:val="00DF3BC0"/>
    <w:rsid w:val="00DF5950"/>
    <w:rsid w:val="00DF6C61"/>
    <w:rsid w:val="00E00ED3"/>
    <w:rsid w:val="00E0794B"/>
    <w:rsid w:val="00E07F7E"/>
    <w:rsid w:val="00E125E5"/>
    <w:rsid w:val="00E12C68"/>
    <w:rsid w:val="00E13882"/>
    <w:rsid w:val="00E153F1"/>
    <w:rsid w:val="00E1619C"/>
    <w:rsid w:val="00E17BF6"/>
    <w:rsid w:val="00E215E3"/>
    <w:rsid w:val="00E2174D"/>
    <w:rsid w:val="00E254D4"/>
    <w:rsid w:val="00E30F27"/>
    <w:rsid w:val="00E315E1"/>
    <w:rsid w:val="00E31A54"/>
    <w:rsid w:val="00E3430B"/>
    <w:rsid w:val="00E40FE7"/>
    <w:rsid w:val="00E42E0C"/>
    <w:rsid w:val="00E44372"/>
    <w:rsid w:val="00E44E31"/>
    <w:rsid w:val="00E4634D"/>
    <w:rsid w:val="00E466E3"/>
    <w:rsid w:val="00E529AC"/>
    <w:rsid w:val="00E5362B"/>
    <w:rsid w:val="00E56E61"/>
    <w:rsid w:val="00E576CB"/>
    <w:rsid w:val="00E57B2C"/>
    <w:rsid w:val="00E64E53"/>
    <w:rsid w:val="00E67A01"/>
    <w:rsid w:val="00E70696"/>
    <w:rsid w:val="00E729B2"/>
    <w:rsid w:val="00E7332B"/>
    <w:rsid w:val="00E767D2"/>
    <w:rsid w:val="00E77953"/>
    <w:rsid w:val="00E81CBC"/>
    <w:rsid w:val="00E91571"/>
    <w:rsid w:val="00E94E65"/>
    <w:rsid w:val="00E95526"/>
    <w:rsid w:val="00E978E7"/>
    <w:rsid w:val="00EA230E"/>
    <w:rsid w:val="00EA2A03"/>
    <w:rsid w:val="00EA353C"/>
    <w:rsid w:val="00EB0E4F"/>
    <w:rsid w:val="00EB216C"/>
    <w:rsid w:val="00EB311D"/>
    <w:rsid w:val="00EB3622"/>
    <w:rsid w:val="00EC3382"/>
    <w:rsid w:val="00EC5E84"/>
    <w:rsid w:val="00ED03C2"/>
    <w:rsid w:val="00ED0B4D"/>
    <w:rsid w:val="00ED0F6E"/>
    <w:rsid w:val="00ED0F78"/>
    <w:rsid w:val="00ED1DAA"/>
    <w:rsid w:val="00ED301B"/>
    <w:rsid w:val="00ED3F0E"/>
    <w:rsid w:val="00ED5B83"/>
    <w:rsid w:val="00ED6A7E"/>
    <w:rsid w:val="00ED72B7"/>
    <w:rsid w:val="00ED798A"/>
    <w:rsid w:val="00EE29B9"/>
    <w:rsid w:val="00EE31AC"/>
    <w:rsid w:val="00EE3E35"/>
    <w:rsid w:val="00EE5FFC"/>
    <w:rsid w:val="00EF4436"/>
    <w:rsid w:val="00F010F4"/>
    <w:rsid w:val="00F03968"/>
    <w:rsid w:val="00F0517B"/>
    <w:rsid w:val="00F0565C"/>
    <w:rsid w:val="00F0616E"/>
    <w:rsid w:val="00F0654B"/>
    <w:rsid w:val="00F1057A"/>
    <w:rsid w:val="00F107B9"/>
    <w:rsid w:val="00F11D6A"/>
    <w:rsid w:val="00F1309D"/>
    <w:rsid w:val="00F1787F"/>
    <w:rsid w:val="00F230AE"/>
    <w:rsid w:val="00F25F8D"/>
    <w:rsid w:val="00F3067A"/>
    <w:rsid w:val="00F3087B"/>
    <w:rsid w:val="00F31ABE"/>
    <w:rsid w:val="00F32D64"/>
    <w:rsid w:val="00F36910"/>
    <w:rsid w:val="00F37475"/>
    <w:rsid w:val="00F42688"/>
    <w:rsid w:val="00F42FDC"/>
    <w:rsid w:val="00F4318E"/>
    <w:rsid w:val="00F43405"/>
    <w:rsid w:val="00F43C15"/>
    <w:rsid w:val="00F47D9E"/>
    <w:rsid w:val="00F51786"/>
    <w:rsid w:val="00F52FD2"/>
    <w:rsid w:val="00F54152"/>
    <w:rsid w:val="00F54608"/>
    <w:rsid w:val="00F54E83"/>
    <w:rsid w:val="00F56356"/>
    <w:rsid w:val="00F6052D"/>
    <w:rsid w:val="00F60CAB"/>
    <w:rsid w:val="00F6136F"/>
    <w:rsid w:val="00F6152C"/>
    <w:rsid w:val="00F671B6"/>
    <w:rsid w:val="00F726FD"/>
    <w:rsid w:val="00F72920"/>
    <w:rsid w:val="00F73F18"/>
    <w:rsid w:val="00F74B9A"/>
    <w:rsid w:val="00F7579E"/>
    <w:rsid w:val="00F765BA"/>
    <w:rsid w:val="00F81C5D"/>
    <w:rsid w:val="00F82D4D"/>
    <w:rsid w:val="00F82FB0"/>
    <w:rsid w:val="00F85D9B"/>
    <w:rsid w:val="00F8673E"/>
    <w:rsid w:val="00F87B60"/>
    <w:rsid w:val="00F914F3"/>
    <w:rsid w:val="00F91EF4"/>
    <w:rsid w:val="00F91FB2"/>
    <w:rsid w:val="00F95482"/>
    <w:rsid w:val="00FA080D"/>
    <w:rsid w:val="00FA2ABD"/>
    <w:rsid w:val="00FA2C0A"/>
    <w:rsid w:val="00FA35D9"/>
    <w:rsid w:val="00FA4BC3"/>
    <w:rsid w:val="00FA73C5"/>
    <w:rsid w:val="00FB0103"/>
    <w:rsid w:val="00FB1EDF"/>
    <w:rsid w:val="00FB2967"/>
    <w:rsid w:val="00FB3A93"/>
    <w:rsid w:val="00FB490D"/>
    <w:rsid w:val="00FB5E83"/>
    <w:rsid w:val="00FB67F8"/>
    <w:rsid w:val="00FB6E62"/>
    <w:rsid w:val="00FC2341"/>
    <w:rsid w:val="00FC4C3A"/>
    <w:rsid w:val="00FD2968"/>
    <w:rsid w:val="00FD2F6B"/>
    <w:rsid w:val="00FD3F5F"/>
    <w:rsid w:val="00FE2580"/>
    <w:rsid w:val="00FE3ED7"/>
    <w:rsid w:val="00FE481D"/>
    <w:rsid w:val="00FE59D7"/>
    <w:rsid w:val="00FE687A"/>
    <w:rsid w:val="00FE7674"/>
    <w:rsid w:val="00FF05DD"/>
    <w:rsid w:val="00FF21BA"/>
    <w:rsid w:val="00FF25B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28415A2"/>
  <w15:docId w15:val="{B3205261-41EA-40EC-803B-E70E937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0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52FCC"/>
    <w:rPr>
      <w:kern w:val="2"/>
    </w:rPr>
  </w:style>
  <w:style w:type="paragraph" w:styleId="a5">
    <w:name w:val="footer"/>
    <w:basedOn w:val="a"/>
    <w:link w:val="a6"/>
    <w:uiPriority w:val="99"/>
    <w:rsid w:val="00A5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52FCC"/>
    <w:rPr>
      <w:kern w:val="2"/>
    </w:rPr>
  </w:style>
  <w:style w:type="character" w:styleId="a7">
    <w:name w:val="Placeholder Text"/>
    <w:uiPriority w:val="99"/>
    <w:semiHidden/>
    <w:rsid w:val="00F54E83"/>
    <w:rPr>
      <w:color w:val="808080"/>
    </w:rPr>
  </w:style>
  <w:style w:type="paragraph" w:styleId="a8">
    <w:name w:val="Balloon Text"/>
    <w:basedOn w:val="a"/>
    <w:link w:val="a9"/>
    <w:rsid w:val="00F54E8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54E83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ED5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450BE8"/>
    <w:rPr>
      <w:color w:val="0000FF"/>
      <w:u w:val="single"/>
    </w:rPr>
  </w:style>
  <w:style w:type="character" w:customStyle="1" w:styleId="email">
    <w:name w:val="email"/>
    <w:basedOn w:val="a0"/>
    <w:rsid w:val="005D4154"/>
  </w:style>
  <w:style w:type="paragraph" w:styleId="ac">
    <w:name w:val="footnote text"/>
    <w:basedOn w:val="a"/>
    <w:link w:val="ad"/>
    <w:rsid w:val="00986914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rsid w:val="00986914"/>
    <w:rPr>
      <w:kern w:val="2"/>
    </w:rPr>
  </w:style>
  <w:style w:type="character" w:styleId="ae">
    <w:name w:val="footnote reference"/>
    <w:rsid w:val="00986914"/>
    <w:rPr>
      <w:vertAlign w:val="superscript"/>
    </w:rPr>
  </w:style>
  <w:style w:type="character" w:styleId="af">
    <w:name w:val="annotation reference"/>
    <w:rsid w:val="00DF0C1C"/>
    <w:rPr>
      <w:sz w:val="18"/>
      <w:szCs w:val="18"/>
    </w:rPr>
  </w:style>
  <w:style w:type="paragraph" w:styleId="af0">
    <w:name w:val="annotation text"/>
    <w:basedOn w:val="a"/>
    <w:link w:val="af1"/>
    <w:rsid w:val="00DF0C1C"/>
  </w:style>
  <w:style w:type="character" w:customStyle="1" w:styleId="af1">
    <w:name w:val="註解文字 字元"/>
    <w:link w:val="af0"/>
    <w:rsid w:val="00DF0C1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F0C1C"/>
    <w:rPr>
      <w:b/>
      <w:bCs/>
    </w:rPr>
  </w:style>
  <w:style w:type="character" w:customStyle="1" w:styleId="af3">
    <w:name w:val="註解主旨 字元"/>
    <w:link w:val="af2"/>
    <w:rsid w:val="00DF0C1C"/>
    <w:rPr>
      <w:b/>
      <w:bCs/>
      <w:kern w:val="2"/>
      <w:sz w:val="24"/>
      <w:szCs w:val="24"/>
    </w:rPr>
  </w:style>
  <w:style w:type="paragraph" w:styleId="af4">
    <w:name w:val="No Spacing"/>
    <w:link w:val="af5"/>
    <w:uiPriority w:val="1"/>
    <w:qFormat/>
    <w:rsid w:val="008A032C"/>
    <w:rPr>
      <w:rFonts w:ascii="Calibri" w:hAnsi="Calibri"/>
      <w:sz w:val="22"/>
      <w:szCs w:val="22"/>
    </w:rPr>
  </w:style>
  <w:style w:type="character" w:customStyle="1" w:styleId="af5">
    <w:name w:val="無間距 字元"/>
    <w:link w:val="af4"/>
    <w:uiPriority w:val="1"/>
    <w:rsid w:val="008A032C"/>
    <w:rPr>
      <w:rFonts w:ascii="Calibri" w:hAnsi="Calibri"/>
      <w:sz w:val="22"/>
      <w:szCs w:val="22"/>
      <w:lang w:val="en-US" w:eastAsia="zh-TW" w:bidi="ar-SA"/>
    </w:rPr>
  </w:style>
  <w:style w:type="paragraph" w:styleId="af6">
    <w:name w:val="List Paragraph"/>
    <w:basedOn w:val="a"/>
    <w:uiPriority w:val="34"/>
    <w:qFormat/>
    <w:rsid w:val="00967AB2"/>
    <w:pPr>
      <w:ind w:leftChars="200" w:left="480"/>
    </w:pPr>
  </w:style>
  <w:style w:type="paragraph" w:styleId="af7">
    <w:name w:val="Body Text"/>
    <w:basedOn w:val="a"/>
    <w:link w:val="af8"/>
    <w:rsid w:val="003D44C6"/>
    <w:pPr>
      <w:adjustRightInd w:val="0"/>
      <w:spacing w:line="480" w:lineRule="atLeast"/>
      <w:jc w:val="both"/>
      <w:textAlignment w:val="baseline"/>
    </w:pPr>
    <w:rPr>
      <w:rFonts w:ascii="FangSong_GB2312" w:eastAsia="FangSong_GB2312"/>
      <w:kern w:val="0"/>
      <w:sz w:val="28"/>
      <w:szCs w:val="28"/>
      <w:lang w:eastAsia="zh-CN"/>
    </w:rPr>
  </w:style>
  <w:style w:type="character" w:customStyle="1" w:styleId="af8">
    <w:name w:val="本文 字元"/>
    <w:basedOn w:val="a0"/>
    <w:link w:val="af7"/>
    <w:rsid w:val="003D44C6"/>
    <w:rPr>
      <w:rFonts w:ascii="FangSong_GB2312" w:eastAsia="FangSong_GB2312"/>
      <w:sz w:val="28"/>
      <w:szCs w:val="28"/>
      <w:lang w:eastAsia="zh-CN"/>
    </w:rPr>
  </w:style>
  <w:style w:type="character" w:customStyle="1" w:styleId="detailjournalnameb1mas">
    <w:name w:val="detail_journal_name__b1mas"/>
    <w:basedOn w:val="a0"/>
    <w:rsid w:val="00E81CBC"/>
  </w:style>
  <w:style w:type="character" w:customStyle="1" w:styleId="detailissue-year-page2mo-m">
    <w:name w:val="detail_issue-year-page__2mo-m"/>
    <w:basedOn w:val="a0"/>
    <w:rsid w:val="00E8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scholar.cnki.net/journal/index/SPQD0149795223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messe-duesseldorf.com/tradefai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 Template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75FB-50B9-4AB6-B06E-4D11D930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1757</Words>
  <Characters>2144</Characters>
  <Application>Microsoft Office Word</Application>
  <DocSecurity>0</DocSecurity>
  <Lines>17</Lines>
  <Paragraphs>7</Paragraphs>
  <ScaleCrop>false</ScaleCrop>
  <Company>Hewlett-Packard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</dc:title>
  <dc:creator>Chiu Chih Wei</dc:creator>
  <cp:lastModifiedBy>國樑 楊</cp:lastModifiedBy>
  <cp:revision>5</cp:revision>
  <cp:lastPrinted>2019-09-22T01:29:00Z</cp:lastPrinted>
  <dcterms:created xsi:type="dcterms:W3CDTF">2021-02-12T07:53:00Z</dcterms:created>
  <dcterms:modified xsi:type="dcterms:W3CDTF">2021-04-17T04:29:00Z</dcterms:modified>
</cp:coreProperties>
</file>